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E2" w:rsidRDefault="00D57244">
      <w:pPr>
        <w:pStyle w:val="Title"/>
      </w:pPr>
      <w:r>
        <w:t>Phil 362: Contemporary Ethical Theory</w:t>
      </w:r>
    </w:p>
    <w:p w:rsidR="007C65E2" w:rsidRDefault="00D57244" w:rsidP="002166F4">
      <w:pPr>
        <w:pStyle w:val="Heading1"/>
        <w:ind w:left="0"/>
      </w:pPr>
      <w:r w:rsidRPr="00417649">
        <w:rPr>
          <w:noProof/>
          <w:sz w:val="22"/>
          <w:lang w:eastAsia="en-US"/>
        </w:rPr>
        <mc:AlternateContent>
          <mc:Choice Requires="wps">
            <w:drawing>
              <wp:anchor distT="0" distB="0" distL="191770" distR="191770" simplePos="0" relativeHeight="251659264" behindDoc="0" locked="0" layoutInCell="1" allowOverlap="1" wp14:anchorId="18E5A78F" wp14:editId="3D59DA96">
                <wp:simplePos x="0" y="0"/>
                <wp:positionH relativeFrom="margin">
                  <wp:align>left</wp:align>
                </wp:positionH>
                <wp:positionV relativeFrom="margin">
                  <wp:posOffset>761365</wp:posOffset>
                </wp:positionV>
                <wp:extent cx="1562100" cy="3467735"/>
                <wp:effectExtent l="0" t="0" r="0" b="0"/>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562100" cy="34678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6622" w:rsidRDefault="00B26622" w:rsidP="00356F46">
                            <w:pPr>
                              <w:pStyle w:val="SidebarHeading"/>
                            </w:pPr>
                            <w:r>
                              <w:t>Meetings</w:t>
                            </w:r>
                          </w:p>
                          <w:p w:rsidR="00B26622" w:rsidRDefault="00B26622" w:rsidP="00356F46">
                            <w:pPr>
                              <w:pStyle w:val="BodyText"/>
                              <w:spacing w:after="160"/>
                            </w:pPr>
                            <w:r>
                              <w:rPr>
                                <w:rStyle w:val="BodyTextChar"/>
                              </w:rPr>
                              <w:t xml:space="preserve">T, </w:t>
                            </w:r>
                            <w:proofErr w:type="spellStart"/>
                            <w:r>
                              <w:rPr>
                                <w:rStyle w:val="BodyTextChar"/>
                              </w:rPr>
                              <w:t>Th</w:t>
                            </w:r>
                            <w:proofErr w:type="spellEnd"/>
                            <w:r>
                              <w:rPr>
                                <w:rStyle w:val="BodyTextChar"/>
                              </w:rPr>
                              <w:t xml:space="preserve"> 2:00-3:15, DEY 307</w:t>
                            </w:r>
                          </w:p>
                          <w:p w:rsidR="00B26622" w:rsidRDefault="00B26622" w:rsidP="00356F46">
                            <w:pPr>
                              <w:pStyle w:val="SidebarHeading"/>
                            </w:pPr>
                            <w:r>
                              <w:t>Instructor</w:t>
                            </w:r>
                          </w:p>
                          <w:p w:rsidR="00B26622" w:rsidRDefault="00B26622" w:rsidP="00356F46">
                            <w:pPr>
                              <w:pStyle w:val="BodyText"/>
                              <w:spacing w:after="160"/>
                              <w:rPr>
                                <w:rStyle w:val="BodyTextChar"/>
                              </w:rPr>
                            </w:pPr>
                            <w:r>
                              <w:rPr>
                                <w:rStyle w:val="BodyTextChar"/>
                              </w:rPr>
                              <w:t>Jordan MacKenzie</w:t>
                            </w:r>
                          </w:p>
                          <w:p w:rsidR="00B26622" w:rsidRDefault="00B26622" w:rsidP="00356F46">
                            <w:pPr>
                              <w:pStyle w:val="SidebarHeading"/>
                            </w:pPr>
                            <w:r>
                              <w:t>Phone</w:t>
                            </w:r>
                          </w:p>
                          <w:p w:rsidR="00B26622" w:rsidRDefault="00B26622" w:rsidP="00356F46">
                            <w:pPr>
                              <w:pStyle w:val="BodyText"/>
                              <w:spacing w:after="160"/>
                            </w:pPr>
                            <w:r>
                              <w:t>919-667-4001</w:t>
                            </w:r>
                          </w:p>
                          <w:p w:rsidR="00B26622" w:rsidRDefault="00B26622" w:rsidP="00356F46">
                            <w:pPr>
                              <w:pStyle w:val="SidebarHeading"/>
                            </w:pPr>
                            <w:r>
                              <w:t>Email</w:t>
                            </w:r>
                          </w:p>
                          <w:p w:rsidR="00B26622" w:rsidRDefault="00B26622" w:rsidP="00356F46">
                            <w:pPr>
                              <w:pStyle w:val="BodyText"/>
                              <w:spacing w:after="160"/>
                            </w:pPr>
                            <w:r>
                              <w:t>jmackenz@live.unc.edu</w:t>
                            </w:r>
                          </w:p>
                          <w:p w:rsidR="00B26622" w:rsidRDefault="00B26622" w:rsidP="00356F46">
                            <w:pPr>
                              <w:pStyle w:val="SidebarHeading"/>
                            </w:pPr>
                            <w:r>
                              <w:t>Office Location</w:t>
                            </w:r>
                          </w:p>
                          <w:p w:rsidR="00B26622" w:rsidRDefault="00B26622" w:rsidP="00356F46">
                            <w:pPr>
                              <w:pStyle w:val="BodyText"/>
                              <w:spacing w:after="160"/>
                            </w:pPr>
                            <w:r>
                              <w:t>206A Caldwell Hall</w:t>
                            </w:r>
                          </w:p>
                          <w:p w:rsidR="00B26622" w:rsidRDefault="00B26622" w:rsidP="00356F46">
                            <w:pPr>
                              <w:pStyle w:val="SidebarHeading"/>
                            </w:pPr>
                            <w:r>
                              <w:t>Office Hours</w:t>
                            </w:r>
                          </w:p>
                          <w:p w:rsidR="00B26622" w:rsidRDefault="00B26622" w:rsidP="00356F46">
                            <w:pPr>
                              <w:pStyle w:val="BodyText"/>
                              <w:spacing w:after="160"/>
                            </w:pPr>
                            <w:proofErr w:type="spellStart"/>
                            <w:r>
                              <w:t>Th</w:t>
                            </w:r>
                            <w:proofErr w:type="spellEnd"/>
                            <w:r>
                              <w:t xml:space="preserve"> 11-1 and by appointment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Contact Info" style="position:absolute;margin-left:0;margin-top:59.95pt;width:123pt;height:273.05pt;z-index:251659264;visibility:visible;mso-wrap-style:square;mso-width-percent:0;mso-height-percent:0;mso-wrap-distance-left:15.1pt;mso-wrap-distance-top:0;mso-wrap-distance-right:15.1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" filled="f" stroked="f" strokeweight=".5pt">
                <v:textbox inset="0,0,0,0">
                  <w:txbxContent>
                    <w:p w:rsidR="00B26622" w:rsidRDefault="00B26622" w:rsidP="00356F46">
                      <w:pPr>
                        <w:pStyle w:val="SidebarHeading"/>
                      </w:pPr>
                      <w:r>
                        <w:t>Meetings</w:t>
                      </w:r>
                    </w:p>
                    <w:p w:rsidR="00B26622" w:rsidRDefault="00B26622" w:rsidP="00356F46">
                      <w:pPr>
                        <w:pStyle w:val="BodyText"/>
                        <w:spacing w:after="160"/>
                      </w:pPr>
                      <w:r>
                        <w:rPr>
                          <w:rStyle w:val="BodyTextChar"/>
                        </w:rPr>
                        <w:t xml:space="preserve">T, </w:t>
                      </w:r>
                      <w:proofErr w:type="spellStart"/>
                      <w:r>
                        <w:rPr>
                          <w:rStyle w:val="BodyTextChar"/>
                        </w:rPr>
                        <w:t>Th</w:t>
                      </w:r>
                      <w:proofErr w:type="spellEnd"/>
                      <w:r>
                        <w:rPr>
                          <w:rStyle w:val="BodyTextChar"/>
                        </w:rPr>
                        <w:t xml:space="preserve"> 2:00-3:15, DEY 307</w:t>
                      </w:r>
                    </w:p>
                    <w:p w:rsidR="00B26622" w:rsidRDefault="00B26622" w:rsidP="00356F46">
                      <w:pPr>
                        <w:pStyle w:val="SidebarHeading"/>
                      </w:pPr>
                      <w:r>
                        <w:t>Instructor</w:t>
                      </w:r>
                    </w:p>
                    <w:p w:rsidR="00B26622" w:rsidRDefault="00B26622" w:rsidP="00356F46">
                      <w:pPr>
                        <w:pStyle w:val="BodyText"/>
                        <w:spacing w:after="160"/>
                        <w:rPr>
                          <w:rStyle w:val="BodyTextChar"/>
                        </w:rPr>
                      </w:pPr>
                      <w:r>
                        <w:rPr>
                          <w:rStyle w:val="BodyTextChar"/>
                        </w:rPr>
                        <w:t>Jordan MacKenzie</w:t>
                      </w:r>
                    </w:p>
                    <w:p w:rsidR="00B26622" w:rsidRDefault="00B26622" w:rsidP="00356F46">
                      <w:pPr>
                        <w:pStyle w:val="SidebarHeading"/>
                      </w:pPr>
                      <w:r>
                        <w:t>Phone</w:t>
                      </w:r>
                    </w:p>
                    <w:p w:rsidR="00B26622" w:rsidRDefault="00B26622" w:rsidP="00356F46">
                      <w:pPr>
                        <w:pStyle w:val="BodyText"/>
                        <w:spacing w:after="160"/>
                      </w:pPr>
                      <w:r>
                        <w:t>919-667-4001</w:t>
                      </w:r>
                    </w:p>
                    <w:p w:rsidR="00B26622" w:rsidRDefault="00B26622" w:rsidP="00356F46">
                      <w:pPr>
                        <w:pStyle w:val="SidebarHeading"/>
                      </w:pPr>
                      <w:r>
                        <w:t>Email</w:t>
                      </w:r>
                    </w:p>
                    <w:p w:rsidR="00B26622" w:rsidRDefault="00B26622" w:rsidP="00356F46">
                      <w:pPr>
                        <w:pStyle w:val="BodyText"/>
                        <w:spacing w:after="160"/>
                      </w:pPr>
                      <w:r>
                        <w:t>jmackenz@live.unc.edu</w:t>
                      </w:r>
                    </w:p>
                    <w:p w:rsidR="00B26622" w:rsidRDefault="00B26622" w:rsidP="00356F46">
                      <w:pPr>
                        <w:pStyle w:val="SidebarHeading"/>
                      </w:pPr>
                      <w:r>
                        <w:t>Office Location</w:t>
                      </w:r>
                    </w:p>
                    <w:p w:rsidR="00B26622" w:rsidRDefault="00B26622" w:rsidP="00356F46">
                      <w:pPr>
                        <w:pStyle w:val="BodyText"/>
                        <w:spacing w:after="160"/>
                      </w:pPr>
                      <w:r>
                        <w:t>206A Caldwell Hall</w:t>
                      </w:r>
                    </w:p>
                    <w:p w:rsidR="00B26622" w:rsidRDefault="00B26622" w:rsidP="00356F46">
                      <w:pPr>
                        <w:pStyle w:val="SidebarHeading"/>
                      </w:pPr>
                      <w:r>
                        <w:t>Office Hours</w:t>
                      </w:r>
                    </w:p>
                    <w:p w:rsidR="00B26622" w:rsidRDefault="00B26622" w:rsidP="00356F46">
                      <w:pPr>
                        <w:pStyle w:val="BodyText"/>
                        <w:spacing w:after="160"/>
                      </w:pPr>
                      <w:proofErr w:type="spellStart"/>
                      <w:r>
                        <w:t>Th</w:t>
                      </w:r>
                      <w:proofErr w:type="spellEnd"/>
                      <w:r>
                        <w:t xml:space="preserve"> 11-1 and by appointment</w:t>
                      </w:r>
                    </w:p>
                  </w:txbxContent>
                </v:textbox>
                <w10:wrap type="square" anchorx="margin" anchory="margin"/>
              </v:shape>
            </w:pict>
          </mc:Fallback>
        </mc:AlternateContent>
      </w:r>
      <w:r w:rsidRPr="00417649">
        <w:rPr>
          <w:sz w:val="22"/>
        </w:rPr>
        <w:t>Course Overview</w:t>
      </w:r>
    </w:p>
    <w:p w:rsidR="007C65E2" w:rsidRPr="00B474F2" w:rsidRDefault="00B474F2" w:rsidP="002166F4">
      <w:pPr>
        <w:spacing w:after="0"/>
      </w:pPr>
      <w:r>
        <w:t>This course will give you an opportunity to read some of the</w:t>
      </w:r>
      <w:r w:rsidR="00D57244">
        <w:t xml:space="preserve"> ‘greatest hits’ from normative ethics in the 20</w:t>
      </w:r>
      <w:r w:rsidR="00D57244" w:rsidRPr="00D57244">
        <w:rPr>
          <w:vertAlign w:val="superscript"/>
        </w:rPr>
        <w:t>th</w:t>
      </w:r>
      <w:r w:rsidR="00D57244">
        <w:t xml:space="preserve"> (and beginning of the 21</w:t>
      </w:r>
      <w:r w:rsidR="00D57244" w:rsidRPr="00D57244">
        <w:rPr>
          <w:vertAlign w:val="superscript"/>
        </w:rPr>
        <w:t>st</w:t>
      </w:r>
      <w:r w:rsidR="00D57244">
        <w:t xml:space="preserve">) century. We’ll begin by looking at some of the </w:t>
      </w:r>
      <w:r w:rsidR="00B26622">
        <w:t>‘anti-theoretical’</w:t>
      </w:r>
      <w:r w:rsidR="00D57244">
        <w:t xml:space="preserve"> challenges to Uti</w:t>
      </w:r>
      <w:r w:rsidR="00B26622">
        <w:t xml:space="preserve">litarianism and Kantian ethics that </w:t>
      </w:r>
      <w:r w:rsidR="00D57244">
        <w:t>spearheaded the resurgence of virtue ethics</w:t>
      </w:r>
      <w:r>
        <w:t xml:space="preserve">. From there, we’ll move on to questions about moral responsibility and the appropriateness of blame. The course will end with a close reading of Miranda </w:t>
      </w:r>
      <w:proofErr w:type="spellStart"/>
      <w:r>
        <w:t>Fricker’s</w:t>
      </w:r>
      <w:proofErr w:type="spellEnd"/>
      <w:r>
        <w:t xml:space="preserve"> book </w:t>
      </w:r>
      <w:r w:rsidRPr="000020F5">
        <w:rPr>
          <w:i/>
        </w:rPr>
        <w:t>Epistemic Injustice: Power and the Ethics of Knowing</w:t>
      </w:r>
      <w:r>
        <w:t xml:space="preserve">, which brings together many of the trends in contemporary normative ethics, and has been largely responsible for the recent philosophical interest in the ethics of belief. Throughout the course, we’ll be asking questions like: what should a moral theory give us? What are the limits of morality? What attitudes, behaviors, and actions are morally assessable? And what role should morality, and moral philosophy, play in our daily lives?  </w:t>
      </w:r>
    </w:p>
    <w:p w:rsidR="007C65E2" w:rsidRPr="00417649" w:rsidRDefault="00D57244" w:rsidP="002166F4">
      <w:pPr>
        <w:pStyle w:val="Heading1"/>
        <w:spacing w:after="0"/>
        <w:rPr>
          <w:sz w:val="22"/>
        </w:rPr>
      </w:pPr>
      <w:r w:rsidRPr="00417649">
        <w:rPr>
          <w:sz w:val="22"/>
        </w:rPr>
        <w:t>Required Text</w:t>
      </w:r>
    </w:p>
    <w:p w:rsidR="007C65E2" w:rsidRDefault="00D57244" w:rsidP="00296635">
      <w:pPr>
        <w:spacing w:after="0"/>
        <w:rPr>
          <w:rStyle w:val="Emphasis"/>
        </w:rPr>
      </w:pPr>
      <w:r>
        <w:t xml:space="preserve">Miranda </w:t>
      </w:r>
      <w:proofErr w:type="spellStart"/>
      <w:r>
        <w:t>Fricker</w:t>
      </w:r>
      <w:proofErr w:type="spellEnd"/>
      <w:r>
        <w:t xml:space="preserve">, </w:t>
      </w:r>
      <w:r>
        <w:rPr>
          <w:rStyle w:val="Emphasis"/>
        </w:rPr>
        <w:t>Epistemic Injustice: Power and the Ethics of Knowing</w:t>
      </w:r>
    </w:p>
    <w:p w:rsidR="007C65E2" w:rsidRDefault="00D57244" w:rsidP="00B26622">
      <w:pPr>
        <w:spacing w:after="0"/>
        <w:ind w:left="0"/>
      </w:pPr>
      <w:r w:rsidRPr="00296635">
        <w:rPr>
          <w:rStyle w:val="Emphasis"/>
          <w:i w:val="0"/>
        </w:rPr>
        <w:t>All other readings will be posted on Sakai.</w:t>
      </w:r>
      <w:r>
        <w:rPr>
          <w:rStyle w:val="Emphasis"/>
        </w:rPr>
        <w:t xml:space="preserve"> </w:t>
      </w:r>
      <w:r w:rsidRPr="00E927D3">
        <w:rPr>
          <w:rFonts w:ascii="Times New Roman" w:hAnsi="Times New Roman" w:cs="Times New Roman"/>
          <w:b/>
        </w:rPr>
        <w:t>You will be expected to print them out and bring a copy of them to class.</w:t>
      </w:r>
    </w:p>
    <w:p w:rsidR="007C65E2" w:rsidRPr="00417649" w:rsidRDefault="00D57244">
      <w:pPr>
        <w:pStyle w:val="Heading1"/>
        <w:rPr>
          <w:sz w:val="22"/>
        </w:rPr>
      </w:pPr>
      <w:r w:rsidRPr="00417649">
        <w:rPr>
          <w:sz w:val="22"/>
        </w:rPr>
        <w:t>Honor System</w:t>
      </w:r>
    </w:p>
    <w:p w:rsidR="00D57244" w:rsidRPr="00E927D3" w:rsidRDefault="00D57244" w:rsidP="00D57244">
      <w:pPr>
        <w:pStyle w:val="ListBullet"/>
        <w:numPr>
          <w:ilvl w:val="0"/>
          <w:numId w:val="0"/>
        </w:numPr>
        <w:ind w:left="115"/>
        <w:rPr>
          <w:b/>
          <w:bCs/>
          <w:i/>
          <w:iCs/>
        </w:rPr>
      </w:pPr>
      <w:r>
        <w:t xml:space="preserve">It is the responsibility of every student at the University of North Carolina to obey and support the enforcement of the Honor Code, which prohibits lying, cheating, or stealing. It is further the responsibility of every student to conduct himself or herself so as not to impair significantly the welfare or the educational opportunities of others in the University community. We will strictly abide by and enforce the honor code. Each student is responsible for becoming familiar with the details of the honor system. </w:t>
      </w:r>
      <w:r w:rsidRPr="00E927D3">
        <w:t xml:space="preserve">For more information on the Honor Code, please visit </w:t>
      </w:r>
      <w:hyperlink r:id="rId10" w:history="1">
        <w:r w:rsidRPr="00E927D3">
          <w:rPr>
            <w:rStyle w:val="Hyperlink"/>
            <w:rFonts w:ascii="Times New Roman" w:hAnsi="Times New Roman" w:cs="Times New Roman"/>
            <w:color w:val="auto"/>
          </w:rPr>
          <w:t>http://studentconduct.unc.edu</w:t>
        </w:r>
      </w:hyperlink>
      <w:r w:rsidRPr="00E927D3">
        <w:t>.</w:t>
      </w:r>
    </w:p>
    <w:p w:rsidR="007C65E2" w:rsidRPr="00417649" w:rsidRDefault="00D57244" w:rsidP="00D57244">
      <w:pPr>
        <w:pStyle w:val="Heading1"/>
        <w:ind w:left="0"/>
        <w:rPr>
          <w:sz w:val="22"/>
        </w:rPr>
      </w:pPr>
      <w:r w:rsidRPr="00417649">
        <w:rPr>
          <w:sz w:val="22"/>
        </w:rPr>
        <w:t>Classroom Expectations and Course Policies</w:t>
      </w:r>
    </w:p>
    <w:p w:rsidR="00D57244" w:rsidRPr="00E927D3" w:rsidRDefault="00D57244" w:rsidP="00D57244">
      <w:pPr>
        <w:pStyle w:val="ListBullet"/>
        <w:numPr>
          <w:ilvl w:val="0"/>
          <w:numId w:val="0"/>
        </w:numPr>
        <w:ind w:left="115"/>
      </w:pPr>
      <w:r>
        <w:t xml:space="preserve">Philosophy classes are only as good as the discussions that happen in them. As such, you will be expected to come to class having completed the readings, and prepared to talk. You will also be expected to treat your peers with respect. </w:t>
      </w:r>
    </w:p>
    <w:p w:rsidR="007C65E2" w:rsidRDefault="00D57244" w:rsidP="00D57244">
      <w:pPr>
        <w:pStyle w:val="ListBullet"/>
        <w:numPr>
          <w:ilvl w:val="0"/>
          <w:numId w:val="0"/>
        </w:numPr>
        <w:ind w:left="115"/>
      </w:pPr>
      <w:r>
        <w:t xml:space="preserve">There is also a strict </w:t>
      </w:r>
      <w:r w:rsidRPr="000020F5">
        <w:rPr>
          <w:b/>
        </w:rPr>
        <w:t>no-electronics</w:t>
      </w:r>
      <w:r>
        <w:t xml:space="preserve"> policy in this class. Please refrain from using laptops, tablets, and cell phones in class. </w:t>
      </w:r>
    </w:p>
    <w:p w:rsidR="00D57244" w:rsidRDefault="00D57244" w:rsidP="00D57244">
      <w:pPr>
        <w:pStyle w:val="ListBullet"/>
        <w:numPr>
          <w:ilvl w:val="0"/>
          <w:numId w:val="0"/>
        </w:numPr>
        <w:ind w:left="115"/>
      </w:pPr>
      <w:r>
        <w:t xml:space="preserve">This course assumes a working familiarity with major ethical theories (specifically Consequentialism, Deontology, and Virtue Ethics). We will be discussing the basic tenets of these theories </w:t>
      </w:r>
      <w:r w:rsidR="000020F5">
        <w:t>throughout the course</w:t>
      </w:r>
      <w:r>
        <w:t>, but if you’d like a more detailed refresher, check out these Stanford Encyclopedia articles:</w:t>
      </w:r>
    </w:p>
    <w:p w:rsidR="00D57244" w:rsidRDefault="000C0024" w:rsidP="00D57244">
      <w:pPr>
        <w:pStyle w:val="ListBullet"/>
        <w:numPr>
          <w:ilvl w:val="0"/>
          <w:numId w:val="0"/>
        </w:numPr>
        <w:ind w:left="115"/>
      </w:pPr>
      <w:hyperlink r:id="rId11" w:history="1">
        <w:r w:rsidR="00D57244" w:rsidRPr="00062AD5">
          <w:rPr>
            <w:rStyle w:val="Hyperlink"/>
          </w:rPr>
          <w:t>https://plato.stanford.edu/entries/consequentialism/</w:t>
        </w:r>
      </w:hyperlink>
      <w:r w:rsidR="00351FAA">
        <w:t xml:space="preserve"> (Intro, S1)</w:t>
      </w:r>
    </w:p>
    <w:p w:rsidR="00351FAA" w:rsidRDefault="000C0024" w:rsidP="00D57244">
      <w:pPr>
        <w:pStyle w:val="ListBullet"/>
        <w:numPr>
          <w:ilvl w:val="0"/>
          <w:numId w:val="0"/>
        </w:numPr>
        <w:ind w:left="115"/>
      </w:pPr>
      <w:hyperlink r:id="rId12" w:anchor="GooWilMorWorDut" w:history="1">
        <w:r w:rsidR="00351FAA" w:rsidRPr="00062AD5">
          <w:rPr>
            <w:rStyle w:val="Hyperlink"/>
          </w:rPr>
          <w:t>https://plato.stanford.edu/entries/kant-moral/#GooWilMorWorDut</w:t>
        </w:r>
      </w:hyperlink>
      <w:r w:rsidR="00351FAA">
        <w:t xml:space="preserve"> (Intro, S2, S3, S4)</w:t>
      </w:r>
    </w:p>
    <w:p w:rsidR="00D57244" w:rsidRDefault="000C0024" w:rsidP="00B474F2">
      <w:pPr>
        <w:pStyle w:val="ListBullet"/>
        <w:numPr>
          <w:ilvl w:val="0"/>
          <w:numId w:val="0"/>
        </w:numPr>
        <w:ind w:firstLine="115"/>
      </w:pPr>
      <w:hyperlink r:id="rId13" w:history="1">
        <w:r w:rsidR="00D57244" w:rsidRPr="00062AD5">
          <w:rPr>
            <w:rStyle w:val="Hyperlink"/>
          </w:rPr>
          <w:t>https://plato.stanford.edu/entries/ethics-deontological/</w:t>
        </w:r>
      </w:hyperlink>
      <w:r w:rsidR="00351FAA">
        <w:t xml:space="preserve"> (Intro, S1, S2.0 (no subsections))</w:t>
      </w:r>
    </w:p>
    <w:p w:rsidR="00D57244" w:rsidRDefault="000C0024" w:rsidP="00D57244">
      <w:pPr>
        <w:pStyle w:val="ListBullet"/>
        <w:numPr>
          <w:ilvl w:val="0"/>
          <w:numId w:val="0"/>
        </w:numPr>
        <w:ind w:left="115"/>
      </w:pPr>
      <w:hyperlink r:id="rId14" w:history="1">
        <w:r w:rsidR="00351FAA" w:rsidRPr="00062AD5">
          <w:rPr>
            <w:rStyle w:val="Hyperlink"/>
          </w:rPr>
          <w:t>https://plato.stanford.edu/entries/ethics-virtue/</w:t>
        </w:r>
      </w:hyperlink>
      <w:r w:rsidR="00351FAA">
        <w:t xml:space="preserve"> (Intro, S1, S2.1)</w:t>
      </w:r>
    </w:p>
    <w:p w:rsidR="00B474F2" w:rsidRPr="000020F5" w:rsidRDefault="00351FAA" w:rsidP="000020F5">
      <w:pPr>
        <w:pStyle w:val="Heading1"/>
        <w:ind w:left="0"/>
        <w:rPr>
          <w:sz w:val="22"/>
        </w:rPr>
      </w:pPr>
      <w:r w:rsidRPr="00417649">
        <w:rPr>
          <w:sz w:val="22"/>
        </w:rPr>
        <w:lastRenderedPageBreak/>
        <w:t>Assignments</w:t>
      </w:r>
      <w:r w:rsidR="000020F5">
        <w:rPr>
          <w:sz w:val="22"/>
        </w:rPr>
        <w:t xml:space="preserve"> </w:t>
      </w:r>
    </w:p>
    <w:p w:rsidR="005822B1" w:rsidRPr="005822B1" w:rsidRDefault="005822B1" w:rsidP="00351FAA">
      <w:pPr>
        <w:pStyle w:val="ListBullet"/>
        <w:numPr>
          <w:ilvl w:val="0"/>
          <w:numId w:val="0"/>
        </w:numPr>
        <w:ind w:left="115"/>
      </w:pPr>
      <w:r w:rsidRPr="005822B1">
        <w:rPr>
          <w:b/>
          <w:i/>
        </w:rPr>
        <w:t xml:space="preserve">Attendance and Participation </w:t>
      </w:r>
      <w:r w:rsidRPr="005822B1">
        <w:rPr>
          <w:b/>
        </w:rPr>
        <w:t>(10%)</w:t>
      </w:r>
      <w:r>
        <w:rPr>
          <w:b/>
        </w:rPr>
        <w:t xml:space="preserve">: </w:t>
      </w:r>
      <w:r>
        <w:t xml:space="preserve">Do the readings, show up for class, and be an active and thoughtful participant in class discussions. </w:t>
      </w:r>
    </w:p>
    <w:p w:rsidR="00DC7D6D" w:rsidRDefault="00351FAA" w:rsidP="00351FAA">
      <w:pPr>
        <w:pStyle w:val="ListBullet"/>
        <w:numPr>
          <w:ilvl w:val="0"/>
          <w:numId w:val="0"/>
        </w:numPr>
        <w:ind w:left="115"/>
      </w:pPr>
      <w:r>
        <w:rPr>
          <w:b/>
          <w:i/>
        </w:rPr>
        <w:t>Comment Sheets</w:t>
      </w:r>
      <w:r w:rsidR="00F2147D">
        <w:rPr>
          <w:b/>
        </w:rPr>
        <w:t xml:space="preserve"> (30</w:t>
      </w:r>
      <w:r w:rsidR="00DC7D6D">
        <w:rPr>
          <w:b/>
        </w:rPr>
        <w:t>%)</w:t>
      </w:r>
      <w:r w:rsidR="005822B1">
        <w:t xml:space="preserve">: </w:t>
      </w:r>
      <w:r w:rsidR="00B474F2">
        <w:t>Throughout the semester, you will be require</w:t>
      </w:r>
      <w:r w:rsidR="00DC7D6D">
        <w:t xml:space="preserve">d to hand in six comment sheets </w:t>
      </w:r>
      <w:r w:rsidR="00B474F2">
        <w:t>o</w:t>
      </w:r>
      <w:r w:rsidR="00DC7D6D">
        <w:t xml:space="preserve">n the assigned course readings. Only the top five marks will be counted towards your final grade. You can write your comment sheets on any readings that you like, so long as you follow these rules: </w:t>
      </w:r>
    </w:p>
    <w:p w:rsidR="00DC7D6D" w:rsidRDefault="00DC7D6D" w:rsidP="006930A5">
      <w:pPr>
        <w:pStyle w:val="ListBullet"/>
        <w:numPr>
          <w:ilvl w:val="0"/>
          <w:numId w:val="15"/>
        </w:numPr>
        <w:spacing w:after="0"/>
      </w:pPr>
      <w:r>
        <w:t>You cannot submit more than on</w:t>
      </w:r>
      <w:r w:rsidR="000B2170">
        <w:t>e</w:t>
      </w:r>
      <w:r>
        <w:t xml:space="preserve"> comment sheet on the same paper.</w:t>
      </w:r>
    </w:p>
    <w:p w:rsidR="00DC7D6D" w:rsidRDefault="00DC7D6D" w:rsidP="006930A5">
      <w:pPr>
        <w:pStyle w:val="ListBullet"/>
        <w:numPr>
          <w:ilvl w:val="0"/>
          <w:numId w:val="15"/>
        </w:numPr>
        <w:spacing w:after="0"/>
      </w:pPr>
      <w:r>
        <w:t xml:space="preserve">You cannot submit more than one comment sheet per week. </w:t>
      </w:r>
    </w:p>
    <w:p w:rsidR="00DC7D6D" w:rsidRDefault="00DC7D6D" w:rsidP="006930A5">
      <w:pPr>
        <w:pStyle w:val="ListBullet"/>
        <w:numPr>
          <w:ilvl w:val="0"/>
          <w:numId w:val="15"/>
        </w:numPr>
        <w:spacing w:after="0"/>
      </w:pPr>
      <w:r>
        <w:t xml:space="preserve">Comment sheets must be submitted on the day that the reading relevant to them is discussed in class. </w:t>
      </w:r>
    </w:p>
    <w:p w:rsidR="00DC7D6D" w:rsidRDefault="00DC7D6D" w:rsidP="006930A5">
      <w:pPr>
        <w:pStyle w:val="ListBullet"/>
        <w:numPr>
          <w:ilvl w:val="0"/>
          <w:numId w:val="15"/>
        </w:numPr>
        <w:spacing w:after="0"/>
      </w:pPr>
      <w:r>
        <w:t xml:space="preserve">You must submit at least </w:t>
      </w:r>
      <w:r w:rsidR="006011AF">
        <w:rPr>
          <w:b/>
        </w:rPr>
        <w:t>two</w:t>
      </w:r>
      <w:r>
        <w:t xml:space="preserve"> comment sheets before Spring Break</w:t>
      </w:r>
      <w:r w:rsidR="006011AF">
        <w:t xml:space="preserve"> and at least </w:t>
      </w:r>
      <w:r w:rsidR="006011AF">
        <w:rPr>
          <w:b/>
        </w:rPr>
        <w:t xml:space="preserve">two </w:t>
      </w:r>
      <w:r w:rsidR="006011AF">
        <w:t>comment sheets after</w:t>
      </w:r>
      <w:r>
        <w:t xml:space="preserve">.   </w:t>
      </w:r>
    </w:p>
    <w:p w:rsidR="006930A5" w:rsidRDefault="006930A5" w:rsidP="006930A5">
      <w:pPr>
        <w:pStyle w:val="ListBullet"/>
        <w:numPr>
          <w:ilvl w:val="0"/>
          <w:numId w:val="0"/>
        </w:numPr>
        <w:spacing w:after="0"/>
        <w:ind w:left="475"/>
      </w:pPr>
    </w:p>
    <w:p w:rsidR="00DC7D6D" w:rsidRDefault="00DC7D6D" w:rsidP="00DC7D6D">
      <w:pPr>
        <w:pStyle w:val="ListBullet"/>
        <w:numPr>
          <w:ilvl w:val="0"/>
          <w:numId w:val="0"/>
        </w:numPr>
        <w:ind w:left="115"/>
      </w:pPr>
      <w:r>
        <w:t>Comment sheets should not be more than two pages in length</w:t>
      </w:r>
      <w:r w:rsidR="000020F5">
        <w:t>, double-spaced</w:t>
      </w:r>
      <w:r>
        <w:t>. A successful comment sheet will be narrow in scope. Don’t summarize the whole article. Instead, select some component of the article (an argument, a definition, an assumption etc.), reconstruct it briefly, and critically evaluate it. Usually this will involve raising an objection</w:t>
      </w:r>
      <w:r w:rsidR="000020F5">
        <w:t>, outlining an ambiguity, critiquing an assumption etc.,</w:t>
      </w:r>
      <w:r>
        <w:t xml:space="preserve"> and </w:t>
      </w:r>
      <w:r w:rsidR="000020F5">
        <w:t>(ideally)</w:t>
      </w:r>
      <w:r>
        <w:t xml:space="preserve"> considering a response on behalf of the author.</w:t>
      </w:r>
    </w:p>
    <w:p w:rsidR="00DC7D6D" w:rsidRPr="00DC7D6D" w:rsidRDefault="00DC7D6D" w:rsidP="00DC7D6D">
      <w:pPr>
        <w:pStyle w:val="ListBullet"/>
        <w:numPr>
          <w:ilvl w:val="0"/>
          <w:numId w:val="0"/>
        </w:numPr>
        <w:tabs>
          <w:tab w:val="left" w:pos="2475"/>
        </w:tabs>
        <w:ind w:left="115"/>
      </w:pPr>
      <w:r>
        <w:rPr>
          <w:b/>
          <w:i/>
        </w:rPr>
        <w:t xml:space="preserve">Short Paper </w:t>
      </w:r>
      <w:r w:rsidR="00276CAE">
        <w:rPr>
          <w:b/>
        </w:rPr>
        <w:t>(20</w:t>
      </w:r>
      <w:r>
        <w:rPr>
          <w:b/>
        </w:rPr>
        <w:t xml:space="preserve">%): </w:t>
      </w:r>
      <w:r w:rsidR="00F2147D">
        <w:t>3-5 pages, double-</w:t>
      </w:r>
      <w:bookmarkStart w:id="0" w:name="_GoBack"/>
      <w:bookmarkEnd w:id="0"/>
      <w:r w:rsidR="00F2147D">
        <w:t>spaced. Prompts will be distributed on January 24</w:t>
      </w:r>
      <w:r w:rsidR="00F2147D" w:rsidRPr="00F2147D">
        <w:rPr>
          <w:vertAlign w:val="superscript"/>
        </w:rPr>
        <w:t>th</w:t>
      </w:r>
      <w:r w:rsidR="00F2147D">
        <w:t xml:space="preserve">, 2017. </w:t>
      </w:r>
    </w:p>
    <w:p w:rsidR="00F2147D" w:rsidRPr="00F2147D" w:rsidRDefault="00F2147D" w:rsidP="00DC7D6D">
      <w:pPr>
        <w:pStyle w:val="ListBullet"/>
        <w:numPr>
          <w:ilvl w:val="0"/>
          <w:numId w:val="0"/>
        </w:numPr>
        <w:tabs>
          <w:tab w:val="left" w:pos="2475"/>
        </w:tabs>
        <w:ind w:left="115"/>
      </w:pPr>
      <w:r>
        <w:rPr>
          <w:b/>
          <w:i/>
        </w:rPr>
        <w:t>Final Paper</w:t>
      </w:r>
      <w:r w:rsidR="00276CAE">
        <w:rPr>
          <w:b/>
          <w:i/>
        </w:rPr>
        <w:t xml:space="preserve"> </w:t>
      </w:r>
      <w:r w:rsidR="00276CAE">
        <w:rPr>
          <w:b/>
        </w:rPr>
        <w:t>(35</w:t>
      </w:r>
      <w:r>
        <w:rPr>
          <w:b/>
        </w:rPr>
        <w:t>%</w:t>
      </w:r>
      <w:r w:rsidR="00276CAE">
        <w:rPr>
          <w:b/>
        </w:rPr>
        <w:t xml:space="preserve"> for paper, 5% for draft</w:t>
      </w:r>
      <w:r>
        <w:rPr>
          <w:b/>
        </w:rPr>
        <w:t xml:space="preserve">): </w:t>
      </w:r>
      <w:r>
        <w:t>10 pages max, double-spaced. Prompts will be distributed on March 7</w:t>
      </w:r>
      <w:r w:rsidRPr="00F2147D">
        <w:rPr>
          <w:vertAlign w:val="superscript"/>
        </w:rPr>
        <w:t>th</w:t>
      </w:r>
      <w:r w:rsidR="00276CAE">
        <w:t>, 2017. You will be required to hand in a draft copy of your papers on April 4</w:t>
      </w:r>
      <w:r w:rsidR="00276CAE" w:rsidRPr="00276CAE">
        <w:rPr>
          <w:vertAlign w:val="superscript"/>
        </w:rPr>
        <w:t>th</w:t>
      </w:r>
      <w:r w:rsidR="00276CAE">
        <w:t>, 2017. I will provide you with comments on your draft</w:t>
      </w:r>
      <w:r w:rsidR="006011AF">
        <w:t xml:space="preserve"> and assign a grade</w:t>
      </w:r>
      <w:r w:rsidR="00276CAE">
        <w:t>. Your final paper, due May 8</w:t>
      </w:r>
      <w:r w:rsidR="00276CAE" w:rsidRPr="00276CAE">
        <w:rPr>
          <w:vertAlign w:val="superscript"/>
        </w:rPr>
        <w:t>th</w:t>
      </w:r>
      <w:r w:rsidR="00276CAE">
        <w:t xml:space="preserve">, 2017, should show some evolution from the draft-version.  </w:t>
      </w:r>
    </w:p>
    <w:p w:rsidR="000020F5" w:rsidRPr="00417649" w:rsidRDefault="000020F5" w:rsidP="000020F5">
      <w:pPr>
        <w:pStyle w:val="Heading1"/>
        <w:ind w:left="0"/>
        <w:rPr>
          <w:sz w:val="22"/>
        </w:rPr>
      </w:pPr>
      <w:r w:rsidRPr="00417649">
        <w:rPr>
          <w:sz w:val="22"/>
        </w:rPr>
        <w:t>Grading Policies</w:t>
      </w:r>
    </w:p>
    <w:p w:rsidR="000020F5" w:rsidRPr="00344B6D" w:rsidRDefault="000020F5" w:rsidP="000020F5">
      <w:pPr>
        <w:spacing w:after="0" w:line="240" w:lineRule="auto"/>
        <w:rPr>
          <w:rFonts w:cs="Times New Roman"/>
          <w:b/>
          <w:bCs/>
          <w:szCs w:val="24"/>
        </w:rPr>
      </w:pPr>
      <w:r w:rsidRPr="00344B6D">
        <w:rPr>
          <w:rFonts w:cs="Times New Roman"/>
          <w:b/>
          <w:i/>
          <w:szCs w:val="24"/>
        </w:rPr>
        <w:t>Blind Grading</w:t>
      </w:r>
      <w:r w:rsidRPr="00344B6D">
        <w:rPr>
          <w:rFonts w:cs="Times New Roman"/>
          <w:b/>
          <w:szCs w:val="24"/>
        </w:rPr>
        <w:t xml:space="preserve">: </w:t>
      </w:r>
      <w:r w:rsidRPr="00344B6D">
        <w:rPr>
          <w:rFonts w:cs="Times New Roman"/>
          <w:szCs w:val="24"/>
        </w:rPr>
        <w:t xml:space="preserve">Please do not put your name on your papers—just write your </w:t>
      </w:r>
      <w:r w:rsidR="006930A5">
        <w:rPr>
          <w:rFonts w:cs="Times New Roman"/>
          <w:szCs w:val="24"/>
        </w:rPr>
        <w:t>PID</w:t>
      </w:r>
      <w:r w:rsidRPr="00344B6D">
        <w:rPr>
          <w:rFonts w:cs="Times New Roman"/>
          <w:szCs w:val="24"/>
        </w:rPr>
        <w:t xml:space="preserve">. </w:t>
      </w:r>
    </w:p>
    <w:p w:rsidR="000020F5" w:rsidRPr="00344B6D" w:rsidRDefault="000020F5" w:rsidP="000020F5">
      <w:pPr>
        <w:spacing w:after="0" w:line="240" w:lineRule="auto"/>
        <w:rPr>
          <w:rFonts w:cs="Times New Roman"/>
          <w:b/>
          <w:bCs/>
          <w:szCs w:val="24"/>
        </w:rPr>
      </w:pPr>
    </w:p>
    <w:p w:rsidR="00351FAA" w:rsidRPr="000020F5" w:rsidRDefault="000020F5" w:rsidP="000020F5">
      <w:pPr>
        <w:spacing w:after="0" w:line="240" w:lineRule="auto"/>
        <w:rPr>
          <w:rFonts w:cs="Times New Roman"/>
          <w:szCs w:val="24"/>
        </w:rPr>
      </w:pPr>
      <w:r>
        <w:rPr>
          <w:rFonts w:cs="Times New Roman"/>
          <w:b/>
          <w:i/>
          <w:szCs w:val="24"/>
        </w:rPr>
        <w:t>Assignment Submission</w:t>
      </w:r>
      <w:r w:rsidRPr="00344B6D">
        <w:rPr>
          <w:rFonts w:cs="Times New Roman"/>
          <w:b/>
          <w:szCs w:val="24"/>
        </w:rPr>
        <w:t xml:space="preserve">: </w:t>
      </w:r>
      <w:r>
        <w:rPr>
          <w:rFonts w:cs="Times New Roman"/>
          <w:szCs w:val="24"/>
        </w:rPr>
        <w:t xml:space="preserve">Please bring a hard copy of your assignment to class on the day that it is due. </w:t>
      </w:r>
      <w:r w:rsidRPr="00344B6D">
        <w:rPr>
          <w:rFonts w:cs="Times New Roman"/>
          <w:szCs w:val="24"/>
        </w:rPr>
        <w:t>Due dates for assignments are firm</w:t>
      </w:r>
      <w:r>
        <w:rPr>
          <w:rFonts w:cs="Times New Roman"/>
          <w:szCs w:val="24"/>
        </w:rPr>
        <w:t xml:space="preserve">, and I will dock 5% of the assignment grade for every 24-hour period it is overdue. I am, however, very generous about granting extensions so long as you request them at least 24 hours in advance of the deadline. </w:t>
      </w:r>
      <w:r w:rsidR="00DC7D6D">
        <w:rPr>
          <w:b/>
          <w:i/>
        </w:rPr>
        <w:tab/>
      </w:r>
    </w:p>
    <w:p w:rsidR="005822B1" w:rsidRPr="00417649" w:rsidRDefault="005822B1" w:rsidP="005822B1">
      <w:pPr>
        <w:pStyle w:val="Heading1"/>
        <w:ind w:left="0"/>
        <w:rPr>
          <w:sz w:val="22"/>
        </w:rPr>
      </w:pPr>
      <w:r w:rsidRPr="00417649">
        <w:rPr>
          <w:sz w:val="22"/>
        </w:rPr>
        <w:t>Grading Scale</w:t>
      </w:r>
    </w:p>
    <w:p w:rsidR="005822B1" w:rsidRPr="005822B1" w:rsidRDefault="005822B1" w:rsidP="005822B1">
      <w:pPr>
        <w:spacing w:after="0" w:line="240" w:lineRule="auto"/>
        <w:rPr>
          <w:rFonts w:cs="Times New Roman"/>
          <w:szCs w:val="24"/>
        </w:rPr>
      </w:pPr>
      <w:r w:rsidRPr="005822B1">
        <w:rPr>
          <w:rFonts w:cs="Times New Roman"/>
          <w:szCs w:val="24"/>
        </w:rPr>
        <w:t xml:space="preserve">A grade in the ‘A’ range (90-93=A-, 94-96=A, 97-100=A+) demonstrates an impressive mastery of and insightful engagement with the course material. </w:t>
      </w:r>
      <w:r w:rsidR="006930A5">
        <w:rPr>
          <w:rFonts w:cs="Times New Roman"/>
          <w:szCs w:val="24"/>
        </w:rPr>
        <w:t>In written work, the</w:t>
      </w:r>
      <w:r w:rsidRPr="005822B1">
        <w:rPr>
          <w:rFonts w:cs="Times New Roman"/>
          <w:szCs w:val="24"/>
        </w:rPr>
        <w:t xml:space="preserve"> A student is able to reconstruct philosophical arguments with precision and accuracy, develop criticisms that are original, persuasive, and well-developed. </w:t>
      </w:r>
      <w:r w:rsidR="006930A5">
        <w:rPr>
          <w:rFonts w:cs="Times New Roman"/>
          <w:szCs w:val="24"/>
        </w:rPr>
        <w:t xml:space="preserve">In class, the A student attends all or almost all classes having completed the readings, and always or almost always makes exceptionally thoughtful and respectful contributions to class discussions. </w:t>
      </w:r>
    </w:p>
    <w:p w:rsidR="005822B1" w:rsidRPr="005822B1" w:rsidRDefault="005822B1" w:rsidP="005822B1">
      <w:pPr>
        <w:spacing w:after="0" w:line="240" w:lineRule="auto"/>
        <w:rPr>
          <w:rFonts w:cs="Times New Roman"/>
          <w:szCs w:val="24"/>
        </w:rPr>
      </w:pPr>
    </w:p>
    <w:p w:rsidR="005822B1" w:rsidRPr="005822B1" w:rsidRDefault="005822B1" w:rsidP="005822B1">
      <w:pPr>
        <w:spacing w:after="0" w:line="240" w:lineRule="auto"/>
        <w:rPr>
          <w:rFonts w:cs="Times New Roman"/>
          <w:szCs w:val="24"/>
        </w:rPr>
      </w:pPr>
      <w:r w:rsidRPr="005822B1">
        <w:rPr>
          <w:rFonts w:cs="Times New Roman"/>
          <w:szCs w:val="24"/>
        </w:rPr>
        <w:t xml:space="preserve">A grade in the ‘B’ range (80-83=B-, 84-86=B, 87-89=B+) denotes competent mastery of and reasonable insight into the course material. The B student is able to reconstruct philosophical arguments accurately and develop criticisms that are reasonably persuasive and well-developed. </w:t>
      </w:r>
      <w:r w:rsidR="006930A5">
        <w:rPr>
          <w:rFonts w:cs="Times New Roman"/>
          <w:szCs w:val="24"/>
        </w:rPr>
        <w:t>In class, the B student attends all or almost all classes, typically completes the readings, and often makes thoughtful and respectful contributions to class discussions.</w:t>
      </w:r>
    </w:p>
    <w:p w:rsidR="005822B1" w:rsidRPr="005822B1" w:rsidRDefault="005822B1" w:rsidP="005822B1">
      <w:pPr>
        <w:spacing w:after="0" w:line="240" w:lineRule="auto"/>
        <w:rPr>
          <w:rFonts w:cs="Times New Roman"/>
          <w:szCs w:val="24"/>
        </w:rPr>
      </w:pPr>
    </w:p>
    <w:p w:rsidR="005822B1" w:rsidRPr="005822B1" w:rsidRDefault="005822B1" w:rsidP="005822B1">
      <w:pPr>
        <w:spacing w:after="0" w:line="240" w:lineRule="auto"/>
        <w:rPr>
          <w:rFonts w:cs="Times New Roman"/>
          <w:szCs w:val="24"/>
        </w:rPr>
      </w:pPr>
      <w:r w:rsidRPr="005822B1">
        <w:rPr>
          <w:rFonts w:cs="Times New Roman"/>
          <w:szCs w:val="24"/>
        </w:rPr>
        <w:t xml:space="preserve">A grade in the ‘C’ range (70-73=C-, 74-76=C, 77-79=C+) denotes adequate comprehension and engagement with the course material. The C student is able to reconstruct philosophical arguments with some errors and develop criticisms that are generally relevant to the course material, if not convincing. </w:t>
      </w:r>
      <w:r w:rsidR="006930A5">
        <w:rPr>
          <w:rFonts w:cs="Times New Roman"/>
          <w:szCs w:val="24"/>
        </w:rPr>
        <w:t>In class, the C student attends the majority of classes, regularly does the readings, and sometimes makes thoughtful and respectful contributions to class discussions.</w:t>
      </w:r>
    </w:p>
    <w:p w:rsidR="005822B1" w:rsidRPr="005822B1" w:rsidRDefault="005822B1" w:rsidP="005822B1">
      <w:pPr>
        <w:spacing w:after="0" w:line="240" w:lineRule="auto"/>
        <w:rPr>
          <w:rFonts w:cs="Times New Roman"/>
          <w:szCs w:val="24"/>
        </w:rPr>
      </w:pPr>
    </w:p>
    <w:p w:rsidR="00F2147D" w:rsidRPr="006930A5" w:rsidRDefault="005822B1" w:rsidP="006930A5">
      <w:pPr>
        <w:spacing w:after="0" w:line="240" w:lineRule="auto"/>
        <w:rPr>
          <w:rFonts w:cs="Times New Roman"/>
          <w:szCs w:val="24"/>
        </w:rPr>
      </w:pPr>
      <w:r w:rsidRPr="005822B1">
        <w:rPr>
          <w:rFonts w:cs="Times New Roman"/>
          <w:szCs w:val="24"/>
        </w:rPr>
        <w:t xml:space="preserve">A grade in the ‘D’ range (60-63=D-, 64-66=D, 67-69) denotes a lack of comprehension of and engagement with the course material. The ‘D’ student is unable to accurately reconstruct philosophical positions or develop critiques relevant to the course material. </w:t>
      </w:r>
      <w:r w:rsidR="006930A5">
        <w:rPr>
          <w:rFonts w:cs="Times New Roman"/>
          <w:szCs w:val="24"/>
        </w:rPr>
        <w:t>In class, the D student struggles with attendance, shows little evidence of having completed the readings, and rarely makes thoughtful and respectful contributions to class discussions.</w:t>
      </w:r>
    </w:p>
    <w:p w:rsidR="007C65E2" w:rsidRDefault="00D57244" w:rsidP="00F2147D">
      <w:pPr>
        <w:pStyle w:val="Heading1"/>
        <w:ind w:left="0"/>
        <w:rPr>
          <w:sz w:val="22"/>
        </w:rPr>
      </w:pPr>
      <w:r w:rsidRPr="00417649">
        <w:rPr>
          <w:sz w:val="22"/>
        </w:rPr>
        <w:lastRenderedPageBreak/>
        <w:t>Course Schedule</w:t>
      </w:r>
    </w:p>
    <w:p w:rsidR="00417649" w:rsidRPr="00417649" w:rsidRDefault="00417649" w:rsidP="00417649">
      <w:r>
        <w:t>*note: this schedule may be updated throughout the semester</w:t>
      </w:r>
    </w:p>
    <w:tbl>
      <w:tblPr>
        <w:tblStyle w:val="SyllabusTable"/>
        <w:tblW w:w="3974" w:type="pct"/>
        <w:jc w:val="center"/>
        <w:tblLook w:val="04A0" w:firstRow="1" w:lastRow="0" w:firstColumn="1" w:lastColumn="0" w:noHBand="0" w:noVBand="1"/>
        <w:tblDescription w:val="Course schedule"/>
      </w:tblPr>
      <w:tblGrid>
        <w:gridCol w:w="1219"/>
        <w:gridCol w:w="6793"/>
      </w:tblGrid>
      <w:tr w:rsidR="00787D28" w:rsidTr="00F2147D">
        <w:trPr>
          <w:cnfStyle w:val="100000000000" w:firstRow="1" w:lastRow="0" w:firstColumn="0" w:lastColumn="0" w:oddVBand="0" w:evenVBand="0" w:oddHBand="0" w:evenHBand="0" w:firstRowFirstColumn="0" w:firstRowLastColumn="0" w:lastRowFirstColumn="0" w:lastRowLastColumn="0"/>
          <w:jc w:val="center"/>
        </w:trPr>
        <w:tc>
          <w:tcPr>
            <w:tcW w:w="761" w:type="pct"/>
          </w:tcPr>
          <w:p w:rsidR="00787D28" w:rsidRDefault="00787D28">
            <w:pPr>
              <w:pStyle w:val="TableHeading"/>
            </w:pPr>
            <w:r>
              <w:t>Date</w:t>
            </w:r>
          </w:p>
        </w:tc>
        <w:tc>
          <w:tcPr>
            <w:tcW w:w="4239" w:type="pct"/>
          </w:tcPr>
          <w:p w:rsidR="00787D28" w:rsidRPr="00443192" w:rsidRDefault="00787D28">
            <w:pPr>
              <w:pStyle w:val="TableHeading"/>
            </w:pPr>
            <w:r w:rsidRPr="00443192">
              <w:t>Readings/ Assignments</w:t>
            </w:r>
          </w:p>
        </w:tc>
      </w:tr>
      <w:tr w:rsidR="00787D28" w:rsidRPr="00443192" w:rsidTr="00F2147D">
        <w:trPr>
          <w:jc w:val="center"/>
        </w:trPr>
        <w:tc>
          <w:tcPr>
            <w:tcW w:w="761" w:type="pct"/>
          </w:tcPr>
          <w:p w:rsidR="00787D28" w:rsidRPr="00443192" w:rsidRDefault="00787D28">
            <w:pPr>
              <w:pStyle w:val="TableText"/>
            </w:pPr>
            <w:r w:rsidRPr="00443192">
              <w:t>Jan 12</w:t>
            </w:r>
          </w:p>
        </w:tc>
        <w:tc>
          <w:tcPr>
            <w:tcW w:w="4239" w:type="pct"/>
          </w:tcPr>
          <w:p w:rsidR="00787D28" w:rsidRPr="00443192" w:rsidRDefault="00787D28">
            <w:pPr>
              <w:pStyle w:val="TableText"/>
            </w:pPr>
            <w:r w:rsidRPr="00443192">
              <w:t>None</w:t>
            </w:r>
          </w:p>
        </w:tc>
      </w:tr>
      <w:tr w:rsidR="00787D28" w:rsidRPr="00443192" w:rsidTr="00F2147D">
        <w:trPr>
          <w:jc w:val="center"/>
        </w:trPr>
        <w:tc>
          <w:tcPr>
            <w:tcW w:w="761" w:type="pct"/>
          </w:tcPr>
          <w:p w:rsidR="00787D28" w:rsidRPr="00443192" w:rsidRDefault="00787D28">
            <w:pPr>
              <w:pStyle w:val="TableText"/>
            </w:pPr>
            <w:r w:rsidRPr="00443192">
              <w:t>Jan 17</w:t>
            </w:r>
          </w:p>
        </w:tc>
        <w:tc>
          <w:tcPr>
            <w:tcW w:w="4239" w:type="pct"/>
          </w:tcPr>
          <w:p w:rsidR="00787D28" w:rsidRPr="00443192" w:rsidRDefault="00787D28">
            <w:pPr>
              <w:pStyle w:val="TableText"/>
            </w:pPr>
            <w:r w:rsidRPr="00443192">
              <w:t>Singer “Famine, Affluence and Morality” and “All Animals are Equal”</w:t>
            </w:r>
          </w:p>
        </w:tc>
      </w:tr>
      <w:tr w:rsidR="00787D28" w:rsidRPr="00443192" w:rsidTr="00F2147D">
        <w:trPr>
          <w:jc w:val="center"/>
        </w:trPr>
        <w:tc>
          <w:tcPr>
            <w:tcW w:w="761" w:type="pct"/>
          </w:tcPr>
          <w:p w:rsidR="00787D28" w:rsidRPr="00443192" w:rsidRDefault="00787D28">
            <w:pPr>
              <w:pStyle w:val="TableText"/>
            </w:pPr>
            <w:r w:rsidRPr="00443192">
              <w:t>Jan 19</w:t>
            </w:r>
          </w:p>
        </w:tc>
        <w:tc>
          <w:tcPr>
            <w:tcW w:w="4239" w:type="pct"/>
          </w:tcPr>
          <w:p w:rsidR="00787D28" w:rsidRPr="00443192" w:rsidRDefault="00787D28" w:rsidP="002825D5">
            <w:pPr>
              <w:pStyle w:val="TableText"/>
            </w:pPr>
            <w:r w:rsidRPr="00443192">
              <w:t>Williams “Consequentialism and Integrity”</w:t>
            </w:r>
          </w:p>
        </w:tc>
      </w:tr>
      <w:tr w:rsidR="00787D28" w:rsidRPr="00443192" w:rsidTr="00F2147D">
        <w:trPr>
          <w:jc w:val="center"/>
        </w:trPr>
        <w:tc>
          <w:tcPr>
            <w:tcW w:w="761" w:type="pct"/>
          </w:tcPr>
          <w:p w:rsidR="00787D28" w:rsidRPr="00443192" w:rsidRDefault="00787D28" w:rsidP="00F25DAA">
            <w:pPr>
              <w:pStyle w:val="TableText"/>
            </w:pPr>
            <w:r w:rsidRPr="00443192">
              <w:t>Jan 24</w:t>
            </w:r>
          </w:p>
        </w:tc>
        <w:tc>
          <w:tcPr>
            <w:tcW w:w="4239" w:type="pct"/>
          </w:tcPr>
          <w:p w:rsidR="00787D28" w:rsidRPr="00443192" w:rsidRDefault="00787D28" w:rsidP="002825D5">
            <w:pPr>
              <w:pStyle w:val="TableText"/>
            </w:pPr>
            <w:r w:rsidRPr="00443192">
              <w:t xml:space="preserve">Rawls “Two Concepts of Rules” </w:t>
            </w:r>
          </w:p>
          <w:p w:rsidR="00F2147D" w:rsidRPr="00443192" w:rsidRDefault="00F2147D" w:rsidP="002825D5">
            <w:pPr>
              <w:pStyle w:val="TableText"/>
            </w:pPr>
            <w:r w:rsidRPr="00443192">
              <w:rPr>
                <w:i/>
              </w:rPr>
              <w:t>First Paper Prompts Distributed</w:t>
            </w:r>
          </w:p>
        </w:tc>
      </w:tr>
      <w:tr w:rsidR="00787D28" w:rsidRPr="00443192" w:rsidTr="00F2147D">
        <w:trPr>
          <w:jc w:val="center"/>
        </w:trPr>
        <w:tc>
          <w:tcPr>
            <w:tcW w:w="761" w:type="pct"/>
          </w:tcPr>
          <w:p w:rsidR="00787D28" w:rsidRPr="00443192" w:rsidRDefault="00787D28" w:rsidP="00F25DAA">
            <w:pPr>
              <w:pStyle w:val="TableText"/>
            </w:pPr>
            <w:r w:rsidRPr="00443192">
              <w:t>Jan 26</w:t>
            </w:r>
          </w:p>
        </w:tc>
        <w:tc>
          <w:tcPr>
            <w:tcW w:w="4239" w:type="pct"/>
          </w:tcPr>
          <w:p w:rsidR="00787D28" w:rsidRPr="00443192" w:rsidRDefault="00787D28" w:rsidP="002825D5">
            <w:pPr>
              <w:pStyle w:val="TableText"/>
            </w:pPr>
            <w:proofErr w:type="spellStart"/>
            <w:r w:rsidRPr="00443192">
              <w:t>Railton</w:t>
            </w:r>
            <w:proofErr w:type="spellEnd"/>
            <w:r w:rsidRPr="00443192">
              <w:t xml:space="preserve"> “Alienation, Consequentialism, and the Demands of Morality”</w:t>
            </w:r>
          </w:p>
        </w:tc>
      </w:tr>
      <w:tr w:rsidR="00787D28" w:rsidRPr="00443192" w:rsidTr="00F2147D">
        <w:trPr>
          <w:jc w:val="center"/>
        </w:trPr>
        <w:tc>
          <w:tcPr>
            <w:tcW w:w="761" w:type="pct"/>
          </w:tcPr>
          <w:p w:rsidR="00787D28" w:rsidRPr="00443192" w:rsidRDefault="00787D28" w:rsidP="002825D5">
            <w:pPr>
              <w:pStyle w:val="TableText"/>
            </w:pPr>
            <w:r w:rsidRPr="00443192">
              <w:t>Jan 31</w:t>
            </w:r>
          </w:p>
        </w:tc>
        <w:tc>
          <w:tcPr>
            <w:tcW w:w="4239" w:type="pct"/>
          </w:tcPr>
          <w:p w:rsidR="00787D28" w:rsidRPr="00443192" w:rsidRDefault="00787D28" w:rsidP="002825D5">
            <w:pPr>
              <w:pStyle w:val="TableText"/>
            </w:pPr>
            <w:r w:rsidRPr="00443192">
              <w:t>Nagel “War and Massacre”</w:t>
            </w:r>
          </w:p>
        </w:tc>
      </w:tr>
      <w:tr w:rsidR="00787D28" w:rsidRPr="00443192" w:rsidTr="00F2147D">
        <w:trPr>
          <w:jc w:val="center"/>
        </w:trPr>
        <w:tc>
          <w:tcPr>
            <w:tcW w:w="761" w:type="pct"/>
          </w:tcPr>
          <w:p w:rsidR="00787D28" w:rsidRPr="00443192" w:rsidRDefault="00787D28" w:rsidP="002825D5">
            <w:pPr>
              <w:pStyle w:val="TableText"/>
            </w:pPr>
            <w:r w:rsidRPr="00443192">
              <w:t>Feb 2</w:t>
            </w:r>
          </w:p>
        </w:tc>
        <w:tc>
          <w:tcPr>
            <w:tcW w:w="4239" w:type="pct"/>
          </w:tcPr>
          <w:p w:rsidR="00787D28" w:rsidRPr="00443192" w:rsidRDefault="00787D28" w:rsidP="002825D5">
            <w:pPr>
              <w:pStyle w:val="TableText"/>
            </w:pPr>
            <w:r w:rsidRPr="00443192">
              <w:t>Rawls, “Kantian Constructivism in Moral Theory” (up to p. 535)</w:t>
            </w:r>
          </w:p>
        </w:tc>
      </w:tr>
      <w:tr w:rsidR="00787D28" w:rsidRPr="00443192" w:rsidTr="00F2147D">
        <w:trPr>
          <w:jc w:val="center"/>
        </w:trPr>
        <w:tc>
          <w:tcPr>
            <w:tcW w:w="761" w:type="pct"/>
          </w:tcPr>
          <w:p w:rsidR="00787D28" w:rsidRPr="00443192" w:rsidRDefault="00787D28" w:rsidP="0051701B">
            <w:pPr>
              <w:pStyle w:val="TableText"/>
            </w:pPr>
            <w:r w:rsidRPr="00443192">
              <w:t>Feb 7</w:t>
            </w:r>
          </w:p>
        </w:tc>
        <w:tc>
          <w:tcPr>
            <w:tcW w:w="4239" w:type="pct"/>
          </w:tcPr>
          <w:p w:rsidR="00787D28" w:rsidRPr="00443192" w:rsidRDefault="00787D28" w:rsidP="0051701B">
            <w:pPr>
              <w:pStyle w:val="TableText"/>
            </w:pPr>
            <w:r w:rsidRPr="00443192">
              <w:t>Rawls, “Kantian Constructivism in Moral Theory” (pp. 535-554)</w:t>
            </w:r>
          </w:p>
        </w:tc>
      </w:tr>
      <w:tr w:rsidR="00787D28" w:rsidRPr="00443192" w:rsidTr="00F2147D">
        <w:trPr>
          <w:jc w:val="center"/>
        </w:trPr>
        <w:tc>
          <w:tcPr>
            <w:tcW w:w="761" w:type="pct"/>
          </w:tcPr>
          <w:p w:rsidR="00787D28" w:rsidRPr="00443192" w:rsidRDefault="00787D28" w:rsidP="0051701B">
            <w:pPr>
              <w:pStyle w:val="TableText"/>
            </w:pPr>
            <w:r w:rsidRPr="00443192">
              <w:t>Feb 9</w:t>
            </w:r>
          </w:p>
        </w:tc>
        <w:tc>
          <w:tcPr>
            <w:tcW w:w="4239" w:type="pct"/>
          </w:tcPr>
          <w:p w:rsidR="00787D28" w:rsidRPr="00443192" w:rsidRDefault="00787D28" w:rsidP="00787D28">
            <w:pPr>
              <w:pStyle w:val="TableText"/>
            </w:pPr>
            <w:r w:rsidRPr="00443192">
              <w:t>Stocker “The Schizophrenia of Modern Ethical Theories”</w:t>
            </w:r>
          </w:p>
        </w:tc>
      </w:tr>
      <w:tr w:rsidR="00787D28" w:rsidRPr="00443192" w:rsidTr="00F2147D">
        <w:trPr>
          <w:jc w:val="center"/>
        </w:trPr>
        <w:tc>
          <w:tcPr>
            <w:tcW w:w="761" w:type="pct"/>
          </w:tcPr>
          <w:p w:rsidR="00787D28" w:rsidRPr="00443192" w:rsidRDefault="00787D28" w:rsidP="0051701B">
            <w:pPr>
              <w:pStyle w:val="TableText"/>
            </w:pPr>
            <w:r w:rsidRPr="00443192">
              <w:t>Feb 14</w:t>
            </w:r>
          </w:p>
        </w:tc>
        <w:tc>
          <w:tcPr>
            <w:tcW w:w="4239" w:type="pct"/>
          </w:tcPr>
          <w:p w:rsidR="00787D28" w:rsidRPr="00443192" w:rsidRDefault="00787D28" w:rsidP="00A25D1C">
            <w:pPr>
              <w:pStyle w:val="TableText"/>
            </w:pPr>
            <w:proofErr w:type="spellStart"/>
            <w:r w:rsidRPr="00443192">
              <w:t>Velleman</w:t>
            </w:r>
            <w:proofErr w:type="spellEnd"/>
            <w:r w:rsidRPr="00443192">
              <w:t xml:space="preserve"> “Love as a Moral Emotion” </w:t>
            </w:r>
          </w:p>
        </w:tc>
      </w:tr>
      <w:tr w:rsidR="00787D28" w:rsidRPr="00443192" w:rsidTr="00F2147D">
        <w:trPr>
          <w:jc w:val="center"/>
        </w:trPr>
        <w:tc>
          <w:tcPr>
            <w:tcW w:w="761" w:type="pct"/>
          </w:tcPr>
          <w:p w:rsidR="00787D28" w:rsidRPr="00443192" w:rsidRDefault="00787D28" w:rsidP="0051701B">
            <w:pPr>
              <w:pStyle w:val="TableText"/>
            </w:pPr>
            <w:r w:rsidRPr="00443192">
              <w:t>Feb 16</w:t>
            </w:r>
          </w:p>
        </w:tc>
        <w:tc>
          <w:tcPr>
            <w:tcW w:w="4239" w:type="pct"/>
          </w:tcPr>
          <w:p w:rsidR="00787D28" w:rsidRPr="00443192" w:rsidRDefault="00787D28" w:rsidP="0051701B">
            <w:pPr>
              <w:pStyle w:val="TableText"/>
            </w:pPr>
            <w:r w:rsidRPr="00443192">
              <w:t>Hill “Servility and Self-Respect”</w:t>
            </w:r>
          </w:p>
          <w:p w:rsidR="00F2147D" w:rsidRPr="00443192" w:rsidRDefault="00F2147D" w:rsidP="0051701B">
            <w:pPr>
              <w:pStyle w:val="TableText"/>
              <w:rPr>
                <w:i/>
              </w:rPr>
            </w:pPr>
            <w:r w:rsidRPr="00443192">
              <w:rPr>
                <w:i/>
              </w:rPr>
              <w:t>First Paper Due</w:t>
            </w:r>
          </w:p>
        </w:tc>
      </w:tr>
      <w:tr w:rsidR="00787D28" w:rsidRPr="00443192" w:rsidTr="00F2147D">
        <w:trPr>
          <w:jc w:val="center"/>
        </w:trPr>
        <w:tc>
          <w:tcPr>
            <w:tcW w:w="761" w:type="pct"/>
          </w:tcPr>
          <w:p w:rsidR="00787D28" w:rsidRPr="00443192" w:rsidRDefault="00787D28" w:rsidP="00787D28">
            <w:pPr>
              <w:pStyle w:val="TableText"/>
            </w:pPr>
            <w:r w:rsidRPr="00443192">
              <w:t>Feb 21</w:t>
            </w:r>
          </w:p>
        </w:tc>
        <w:tc>
          <w:tcPr>
            <w:tcW w:w="4239" w:type="pct"/>
          </w:tcPr>
          <w:p w:rsidR="00787D28" w:rsidRPr="00443192" w:rsidRDefault="00787D28" w:rsidP="00787D28">
            <w:pPr>
              <w:pStyle w:val="TableText"/>
            </w:pPr>
            <w:r w:rsidRPr="00443192">
              <w:t>Williams “Persons, Character, and Morality”</w:t>
            </w:r>
          </w:p>
        </w:tc>
      </w:tr>
      <w:tr w:rsidR="00787D28" w:rsidRPr="00443192" w:rsidTr="00F2147D">
        <w:trPr>
          <w:jc w:val="center"/>
        </w:trPr>
        <w:tc>
          <w:tcPr>
            <w:tcW w:w="761" w:type="pct"/>
          </w:tcPr>
          <w:p w:rsidR="00787D28" w:rsidRPr="00443192" w:rsidRDefault="00787D28" w:rsidP="00787D28">
            <w:pPr>
              <w:pStyle w:val="TableText"/>
            </w:pPr>
            <w:r w:rsidRPr="00443192">
              <w:t>Feb 23</w:t>
            </w:r>
          </w:p>
        </w:tc>
        <w:tc>
          <w:tcPr>
            <w:tcW w:w="4239" w:type="pct"/>
          </w:tcPr>
          <w:p w:rsidR="00787D28" w:rsidRPr="00443192" w:rsidRDefault="006C146A" w:rsidP="006C146A">
            <w:pPr>
              <w:pStyle w:val="TableText"/>
            </w:pPr>
            <w:r w:rsidRPr="00443192">
              <w:t>Foot</w:t>
            </w:r>
            <w:r w:rsidR="00787D28" w:rsidRPr="00443192">
              <w:t xml:space="preserve"> “</w:t>
            </w:r>
            <w:r w:rsidRPr="00443192">
              <w:t>Morality as a System of Hypothetical Imperative</w:t>
            </w:r>
            <w:r w:rsidR="00787D28" w:rsidRPr="00443192">
              <w:t>”</w:t>
            </w:r>
          </w:p>
        </w:tc>
      </w:tr>
      <w:tr w:rsidR="00787D28" w:rsidRPr="00443192" w:rsidTr="00F2147D">
        <w:trPr>
          <w:jc w:val="center"/>
        </w:trPr>
        <w:tc>
          <w:tcPr>
            <w:tcW w:w="761" w:type="pct"/>
          </w:tcPr>
          <w:p w:rsidR="00787D28" w:rsidRPr="00443192" w:rsidRDefault="00787D28" w:rsidP="00787D28">
            <w:pPr>
              <w:pStyle w:val="TableText"/>
            </w:pPr>
            <w:r w:rsidRPr="00443192">
              <w:t>Feb 28</w:t>
            </w:r>
          </w:p>
        </w:tc>
        <w:tc>
          <w:tcPr>
            <w:tcW w:w="4239" w:type="pct"/>
          </w:tcPr>
          <w:p w:rsidR="00787D28" w:rsidRPr="00443192" w:rsidRDefault="00787D28" w:rsidP="00787D28">
            <w:pPr>
              <w:pStyle w:val="TableText"/>
            </w:pPr>
            <w:r w:rsidRPr="00443192">
              <w:t>Foot “Virtue and Vices”</w:t>
            </w:r>
          </w:p>
        </w:tc>
      </w:tr>
      <w:tr w:rsidR="00787D28" w:rsidRPr="00443192" w:rsidTr="00443192">
        <w:trPr>
          <w:jc w:val="center"/>
        </w:trPr>
        <w:tc>
          <w:tcPr>
            <w:tcW w:w="761" w:type="pct"/>
          </w:tcPr>
          <w:p w:rsidR="00787D28" w:rsidRPr="00443192" w:rsidRDefault="00787D28" w:rsidP="00787D28">
            <w:pPr>
              <w:pStyle w:val="TableText"/>
            </w:pPr>
            <w:r w:rsidRPr="00443192">
              <w:t>Mar 2</w:t>
            </w:r>
          </w:p>
        </w:tc>
        <w:tc>
          <w:tcPr>
            <w:tcW w:w="4239" w:type="pct"/>
            <w:shd w:val="clear" w:color="auto" w:fill="auto"/>
          </w:tcPr>
          <w:p w:rsidR="00787D28" w:rsidRPr="00443192" w:rsidRDefault="00787D28" w:rsidP="00787D28">
            <w:pPr>
              <w:pStyle w:val="TableText"/>
            </w:pPr>
            <w:r w:rsidRPr="00443192">
              <w:t>Nussbaum “Non-Relative Virtues”</w:t>
            </w:r>
          </w:p>
        </w:tc>
      </w:tr>
      <w:tr w:rsidR="00787D28" w:rsidRPr="00443192" w:rsidTr="00F2147D">
        <w:trPr>
          <w:jc w:val="center"/>
        </w:trPr>
        <w:tc>
          <w:tcPr>
            <w:tcW w:w="761" w:type="pct"/>
          </w:tcPr>
          <w:p w:rsidR="00787D28" w:rsidRPr="00443192" w:rsidRDefault="00787D28" w:rsidP="00787D28">
            <w:pPr>
              <w:pStyle w:val="TableText"/>
            </w:pPr>
            <w:r w:rsidRPr="00443192">
              <w:t>Mar 7</w:t>
            </w:r>
          </w:p>
        </w:tc>
        <w:tc>
          <w:tcPr>
            <w:tcW w:w="4239" w:type="pct"/>
          </w:tcPr>
          <w:p w:rsidR="00F2147D" w:rsidRPr="00443192" w:rsidRDefault="00787D28" w:rsidP="006011AF">
            <w:pPr>
              <w:pStyle w:val="TableText"/>
            </w:pPr>
            <w:r w:rsidRPr="00443192">
              <w:t>Calhoun “Standing for Something”</w:t>
            </w:r>
          </w:p>
        </w:tc>
      </w:tr>
      <w:tr w:rsidR="00787D28" w:rsidRPr="00443192" w:rsidTr="00F2147D">
        <w:trPr>
          <w:jc w:val="center"/>
        </w:trPr>
        <w:tc>
          <w:tcPr>
            <w:tcW w:w="761" w:type="pct"/>
          </w:tcPr>
          <w:p w:rsidR="00787D28" w:rsidRPr="00443192" w:rsidRDefault="00787D28" w:rsidP="00787D28">
            <w:pPr>
              <w:pStyle w:val="TableText"/>
            </w:pPr>
            <w:r w:rsidRPr="00443192">
              <w:t>Mar 9</w:t>
            </w:r>
          </w:p>
        </w:tc>
        <w:tc>
          <w:tcPr>
            <w:tcW w:w="4239" w:type="pct"/>
          </w:tcPr>
          <w:p w:rsidR="00787D28" w:rsidRPr="00443192" w:rsidRDefault="00787D28" w:rsidP="00787D28">
            <w:pPr>
              <w:pStyle w:val="TableText"/>
            </w:pPr>
            <w:proofErr w:type="spellStart"/>
            <w:r w:rsidRPr="00443192">
              <w:t>Strawson</w:t>
            </w:r>
            <w:proofErr w:type="spellEnd"/>
            <w:r w:rsidRPr="00443192">
              <w:t xml:space="preserve"> Jr. “The Impossibility of Responsibility” </w:t>
            </w:r>
          </w:p>
          <w:p w:rsidR="006011AF" w:rsidRPr="00443192" w:rsidRDefault="006011AF" w:rsidP="00787D28">
            <w:pPr>
              <w:pStyle w:val="TableText"/>
              <w:rPr>
                <w:i/>
              </w:rPr>
            </w:pPr>
            <w:r w:rsidRPr="00443192">
              <w:rPr>
                <w:i/>
              </w:rPr>
              <w:t>Final Paper Prompts Distributed</w:t>
            </w:r>
          </w:p>
        </w:tc>
      </w:tr>
      <w:tr w:rsidR="00787D28" w:rsidRPr="00443192" w:rsidTr="00F2147D">
        <w:trPr>
          <w:jc w:val="center"/>
        </w:trPr>
        <w:tc>
          <w:tcPr>
            <w:tcW w:w="761" w:type="pct"/>
          </w:tcPr>
          <w:p w:rsidR="00787D28" w:rsidRPr="00443192" w:rsidRDefault="00787D28" w:rsidP="00787D28">
            <w:pPr>
              <w:pStyle w:val="TableText"/>
            </w:pPr>
            <w:r w:rsidRPr="00443192">
              <w:t>Mar 21</w:t>
            </w:r>
          </w:p>
        </w:tc>
        <w:tc>
          <w:tcPr>
            <w:tcW w:w="4239" w:type="pct"/>
          </w:tcPr>
          <w:p w:rsidR="00787D28" w:rsidRPr="00443192" w:rsidRDefault="00B474F2" w:rsidP="00787D28">
            <w:pPr>
              <w:pStyle w:val="TableText"/>
            </w:pPr>
            <w:r w:rsidRPr="00443192">
              <w:t>Frankfurt “Alternative Possibilities and Moral Responsibility”</w:t>
            </w:r>
          </w:p>
        </w:tc>
      </w:tr>
      <w:tr w:rsidR="006C146A" w:rsidRPr="00443192" w:rsidTr="00F2147D">
        <w:trPr>
          <w:jc w:val="center"/>
        </w:trPr>
        <w:tc>
          <w:tcPr>
            <w:tcW w:w="761" w:type="pct"/>
          </w:tcPr>
          <w:p w:rsidR="006C146A" w:rsidRPr="00443192" w:rsidRDefault="006C146A" w:rsidP="006C146A">
            <w:pPr>
              <w:pStyle w:val="TableText"/>
            </w:pPr>
            <w:r w:rsidRPr="00443192">
              <w:t>Mar 23</w:t>
            </w:r>
          </w:p>
        </w:tc>
        <w:tc>
          <w:tcPr>
            <w:tcW w:w="4239" w:type="pct"/>
          </w:tcPr>
          <w:p w:rsidR="006C146A" w:rsidRPr="00443192" w:rsidRDefault="006C146A" w:rsidP="006C146A">
            <w:pPr>
              <w:pStyle w:val="TableText"/>
            </w:pPr>
            <w:proofErr w:type="spellStart"/>
            <w:r w:rsidRPr="00443192">
              <w:t>Strawson</w:t>
            </w:r>
            <w:proofErr w:type="spellEnd"/>
            <w:r w:rsidRPr="00443192">
              <w:t xml:space="preserve"> Sr. “Freedom and Resentment”</w:t>
            </w:r>
          </w:p>
        </w:tc>
      </w:tr>
      <w:tr w:rsidR="00787D28" w:rsidRPr="00443192" w:rsidTr="00F2147D">
        <w:trPr>
          <w:jc w:val="center"/>
        </w:trPr>
        <w:tc>
          <w:tcPr>
            <w:tcW w:w="761" w:type="pct"/>
          </w:tcPr>
          <w:p w:rsidR="00787D28" w:rsidRPr="00443192" w:rsidRDefault="00787D28" w:rsidP="00787D28">
            <w:pPr>
              <w:pStyle w:val="TableText"/>
            </w:pPr>
            <w:r w:rsidRPr="00443192">
              <w:t>Mar 28</w:t>
            </w:r>
          </w:p>
        </w:tc>
        <w:tc>
          <w:tcPr>
            <w:tcW w:w="4239" w:type="pct"/>
          </w:tcPr>
          <w:p w:rsidR="00787D28" w:rsidRPr="00443192" w:rsidRDefault="00B474F2" w:rsidP="006C146A">
            <w:pPr>
              <w:pStyle w:val="TableText"/>
            </w:pPr>
            <w:r w:rsidRPr="00443192">
              <w:t>Frankfurt “Freedom of the Will and the Concept of a Person”</w:t>
            </w:r>
          </w:p>
        </w:tc>
      </w:tr>
      <w:tr w:rsidR="00787D28" w:rsidRPr="00443192" w:rsidTr="00F2147D">
        <w:trPr>
          <w:jc w:val="center"/>
        </w:trPr>
        <w:tc>
          <w:tcPr>
            <w:tcW w:w="761" w:type="pct"/>
          </w:tcPr>
          <w:p w:rsidR="00787D28" w:rsidRPr="00443192" w:rsidRDefault="00787D28" w:rsidP="00787D28">
            <w:pPr>
              <w:pStyle w:val="TableText"/>
            </w:pPr>
            <w:r w:rsidRPr="00443192">
              <w:t>Mar 30</w:t>
            </w:r>
          </w:p>
        </w:tc>
        <w:tc>
          <w:tcPr>
            <w:tcW w:w="4239" w:type="pct"/>
          </w:tcPr>
          <w:p w:rsidR="00787D28" w:rsidRPr="00443192" w:rsidRDefault="00787D28" w:rsidP="00787D28">
            <w:pPr>
              <w:pStyle w:val="TableText"/>
            </w:pPr>
            <w:proofErr w:type="spellStart"/>
            <w:r w:rsidRPr="00443192">
              <w:t>Arpaly</w:t>
            </w:r>
            <w:proofErr w:type="spellEnd"/>
            <w:r w:rsidRPr="00443192">
              <w:t xml:space="preserve">, </w:t>
            </w:r>
            <w:r w:rsidRPr="00443192">
              <w:rPr>
                <w:i/>
              </w:rPr>
              <w:t>Unprincipled Virtue</w:t>
            </w:r>
            <w:r w:rsidRPr="00443192">
              <w:t>, Chapter 1</w:t>
            </w:r>
          </w:p>
        </w:tc>
      </w:tr>
      <w:tr w:rsidR="00787D28" w:rsidRPr="00443192" w:rsidTr="00F2147D">
        <w:trPr>
          <w:jc w:val="center"/>
        </w:trPr>
        <w:tc>
          <w:tcPr>
            <w:tcW w:w="761" w:type="pct"/>
          </w:tcPr>
          <w:p w:rsidR="00787D28" w:rsidRPr="00443192" w:rsidRDefault="00787D28" w:rsidP="00787D28">
            <w:pPr>
              <w:pStyle w:val="TableText"/>
            </w:pPr>
            <w:r w:rsidRPr="00443192">
              <w:t>Apr 4</w:t>
            </w:r>
          </w:p>
        </w:tc>
        <w:tc>
          <w:tcPr>
            <w:tcW w:w="4239" w:type="pct"/>
          </w:tcPr>
          <w:p w:rsidR="00276CAE" w:rsidRPr="00443192" w:rsidRDefault="00787D28" w:rsidP="006011AF">
            <w:pPr>
              <w:pStyle w:val="TableText"/>
            </w:pPr>
            <w:proofErr w:type="spellStart"/>
            <w:r w:rsidRPr="00443192">
              <w:t>Arpaly</w:t>
            </w:r>
            <w:proofErr w:type="spellEnd"/>
            <w:r w:rsidRPr="00443192">
              <w:t xml:space="preserve">, </w:t>
            </w:r>
            <w:r w:rsidRPr="00443192">
              <w:rPr>
                <w:i/>
              </w:rPr>
              <w:t>Unprincipled Virtue</w:t>
            </w:r>
            <w:r w:rsidR="006011AF" w:rsidRPr="00443192">
              <w:t xml:space="preserve">, Chapter </w:t>
            </w:r>
          </w:p>
        </w:tc>
      </w:tr>
      <w:tr w:rsidR="00787D28" w:rsidRPr="00443192" w:rsidTr="00F2147D">
        <w:trPr>
          <w:jc w:val="center"/>
        </w:trPr>
        <w:tc>
          <w:tcPr>
            <w:tcW w:w="761" w:type="pct"/>
          </w:tcPr>
          <w:p w:rsidR="00787D28" w:rsidRPr="00443192" w:rsidRDefault="00787D28" w:rsidP="00787D28">
            <w:pPr>
              <w:pStyle w:val="TableText"/>
            </w:pPr>
            <w:r w:rsidRPr="00443192">
              <w:t>Apr 6</w:t>
            </w:r>
          </w:p>
        </w:tc>
        <w:tc>
          <w:tcPr>
            <w:tcW w:w="4239" w:type="pct"/>
          </w:tcPr>
          <w:p w:rsidR="00276CAE" w:rsidRPr="00443192" w:rsidRDefault="00787D28" w:rsidP="00276CAE">
            <w:pPr>
              <w:pStyle w:val="TableText"/>
            </w:pPr>
            <w:proofErr w:type="spellStart"/>
            <w:r w:rsidRPr="00443192">
              <w:t>Arpaly</w:t>
            </w:r>
            <w:proofErr w:type="spellEnd"/>
            <w:r w:rsidRPr="00443192">
              <w:t xml:space="preserve">, </w:t>
            </w:r>
            <w:r w:rsidRPr="00443192">
              <w:rPr>
                <w:i/>
              </w:rPr>
              <w:t>Unprincipled Virtue</w:t>
            </w:r>
            <w:r w:rsidRPr="00443192">
              <w:t>, Chapter 3</w:t>
            </w:r>
          </w:p>
        </w:tc>
      </w:tr>
      <w:tr w:rsidR="00787D28" w:rsidRPr="00443192" w:rsidTr="00F2147D">
        <w:trPr>
          <w:jc w:val="center"/>
        </w:trPr>
        <w:tc>
          <w:tcPr>
            <w:tcW w:w="761" w:type="pct"/>
          </w:tcPr>
          <w:p w:rsidR="00787D28" w:rsidRPr="00443192" w:rsidRDefault="00787D28" w:rsidP="00787D28">
            <w:pPr>
              <w:pStyle w:val="TableText"/>
            </w:pPr>
            <w:r w:rsidRPr="00443192">
              <w:t>Apr 11</w:t>
            </w:r>
          </w:p>
        </w:tc>
        <w:tc>
          <w:tcPr>
            <w:tcW w:w="4239" w:type="pct"/>
          </w:tcPr>
          <w:p w:rsidR="00787D28" w:rsidRPr="00443192" w:rsidRDefault="00787D28" w:rsidP="00787D28">
            <w:pPr>
              <w:pStyle w:val="TableText"/>
            </w:pPr>
            <w:r w:rsidRPr="00443192">
              <w:t>Williams, “Moral Luck”</w:t>
            </w:r>
          </w:p>
        </w:tc>
      </w:tr>
      <w:tr w:rsidR="00787D28" w:rsidRPr="00443192" w:rsidTr="00F2147D">
        <w:trPr>
          <w:jc w:val="center"/>
        </w:trPr>
        <w:tc>
          <w:tcPr>
            <w:tcW w:w="761" w:type="pct"/>
          </w:tcPr>
          <w:p w:rsidR="00787D28" w:rsidRPr="00443192" w:rsidRDefault="00787D28" w:rsidP="00787D28">
            <w:pPr>
              <w:pStyle w:val="TableText"/>
            </w:pPr>
            <w:r w:rsidRPr="00443192">
              <w:t>Apr 12</w:t>
            </w:r>
          </w:p>
        </w:tc>
        <w:tc>
          <w:tcPr>
            <w:tcW w:w="4239" w:type="pct"/>
          </w:tcPr>
          <w:p w:rsidR="00F2147D" w:rsidRPr="00443192" w:rsidRDefault="00276CAE" w:rsidP="00276CAE">
            <w:pPr>
              <w:pStyle w:val="TableText"/>
            </w:pPr>
            <w:r w:rsidRPr="00443192">
              <w:t>Adams “Involuntary Sins”</w:t>
            </w:r>
          </w:p>
        </w:tc>
      </w:tr>
      <w:tr w:rsidR="00787D28" w:rsidRPr="00443192" w:rsidTr="00F2147D">
        <w:trPr>
          <w:jc w:val="center"/>
        </w:trPr>
        <w:tc>
          <w:tcPr>
            <w:tcW w:w="761" w:type="pct"/>
          </w:tcPr>
          <w:p w:rsidR="00787D28" w:rsidRPr="00443192" w:rsidRDefault="00787D28" w:rsidP="00787D28">
            <w:pPr>
              <w:pStyle w:val="TableText"/>
            </w:pPr>
            <w:r w:rsidRPr="00443192">
              <w:lastRenderedPageBreak/>
              <w:t>Apr 18</w:t>
            </w:r>
          </w:p>
        </w:tc>
        <w:tc>
          <w:tcPr>
            <w:tcW w:w="4239" w:type="pct"/>
          </w:tcPr>
          <w:p w:rsidR="00787D28" w:rsidRPr="00443192" w:rsidRDefault="00787D28" w:rsidP="00787D28">
            <w:pPr>
              <w:pStyle w:val="TableText"/>
            </w:pPr>
            <w:proofErr w:type="spellStart"/>
            <w:r w:rsidRPr="00443192">
              <w:t>Fricker</w:t>
            </w:r>
            <w:proofErr w:type="spellEnd"/>
            <w:r w:rsidRPr="00443192">
              <w:t xml:space="preserve">, </w:t>
            </w:r>
            <w:r w:rsidRPr="00443192">
              <w:rPr>
                <w:i/>
              </w:rPr>
              <w:t>Epistemic Injustice</w:t>
            </w:r>
            <w:r w:rsidRPr="00443192">
              <w:t>, Chapters 1 and 2</w:t>
            </w:r>
          </w:p>
        </w:tc>
      </w:tr>
      <w:tr w:rsidR="00787D28" w:rsidRPr="00443192" w:rsidTr="00F2147D">
        <w:trPr>
          <w:jc w:val="center"/>
        </w:trPr>
        <w:tc>
          <w:tcPr>
            <w:tcW w:w="761" w:type="pct"/>
          </w:tcPr>
          <w:p w:rsidR="00787D28" w:rsidRPr="00443192" w:rsidRDefault="00787D28" w:rsidP="00787D28">
            <w:pPr>
              <w:pStyle w:val="TableText"/>
            </w:pPr>
            <w:r w:rsidRPr="00443192">
              <w:t>Apr 20</w:t>
            </w:r>
          </w:p>
        </w:tc>
        <w:tc>
          <w:tcPr>
            <w:tcW w:w="4239" w:type="pct"/>
          </w:tcPr>
          <w:p w:rsidR="00787D28" w:rsidRPr="00443192" w:rsidRDefault="00787D28" w:rsidP="00787D28">
            <w:pPr>
              <w:pStyle w:val="TableText"/>
            </w:pPr>
            <w:proofErr w:type="spellStart"/>
            <w:r w:rsidRPr="00443192">
              <w:t>Fricker</w:t>
            </w:r>
            <w:proofErr w:type="spellEnd"/>
            <w:r w:rsidRPr="00443192">
              <w:t xml:space="preserve">, </w:t>
            </w:r>
            <w:r w:rsidRPr="00443192">
              <w:rPr>
                <w:i/>
              </w:rPr>
              <w:t>Epistemic Injustice</w:t>
            </w:r>
            <w:r w:rsidRPr="00443192">
              <w:t>, Chapter 3</w:t>
            </w:r>
          </w:p>
          <w:p w:rsidR="006011AF" w:rsidRPr="00443192" w:rsidRDefault="006011AF" w:rsidP="00787D28">
            <w:pPr>
              <w:pStyle w:val="TableText"/>
              <w:rPr>
                <w:i/>
              </w:rPr>
            </w:pPr>
            <w:r w:rsidRPr="00443192">
              <w:rPr>
                <w:i/>
              </w:rPr>
              <w:t>Draft of Final Paper Due</w:t>
            </w:r>
          </w:p>
        </w:tc>
      </w:tr>
      <w:tr w:rsidR="00787D28" w:rsidRPr="00443192" w:rsidTr="00F2147D">
        <w:trPr>
          <w:jc w:val="center"/>
        </w:trPr>
        <w:tc>
          <w:tcPr>
            <w:tcW w:w="761" w:type="pct"/>
          </w:tcPr>
          <w:p w:rsidR="00787D28" w:rsidRPr="00443192" w:rsidRDefault="00787D28" w:rsidP="00787D28">
            <w:pPr>
              <w:pStyle w:val="TableText"/>
            </w:pPr>
            <w:r w:rsidRPr="00443192">
              <w:t>Apr 25</w:t>
            </w:r>
          </w:p>
        </w:tc>
        <w:tc>
          <w:tcPr>
            <w:tcW w:w="4239" w:type="pct"/>
          </w:tcPr>
          <w:p w:rsidR="00787D28" w:rsidRPr="00443192" w:rsidRDefault="00787D28" w:rsidP="00787D28">
            <w:pPr>
              <w:pStyle w:val="TableText"/>
            </w:pPr>
            <w:proofErr w:type="spellStart"/>
            <w:r w:rsidRPr="00443192">
              <w:t>Fricker</w:t>
            </w:r>
            <w:proofErr w:type="spellEnd"/>
            <w:r w:rsidRPr="00443192">
              <w:t xml:space="preserve">, </w:t>
            </w:r>
            <w:r w:rsidRPr="00443192">
              <w:rPr>
                <w:i/>
              </w:rPr>
              <w:t>Epistemic Injustice</w:t>
            </w:r>
            <w:r w:rsidRPr="00443192">
              <w:t>, Chapter 4</w:t>
            </w:r>
          </w:p>
        </w:tc>
      </w:tr>
      <w:tr w:rsidR="00787D28" w:rsidRPr="00443192" w:rsidTr="00F2147D">
        <w:trPr>
          <w:jc w:val="center"/>
        </w:trPr>
        <w:tc>
          <w:tcPr>
            <w:tcW w:w="761" w:type="pct"/>
          </w:tcPr>
          <w:p w:rsidR="00787D28" w:rsidRPr="00443192" w:rsidRDefault="00787D28" w:rsidP="00787D28">
            <w:pPr>
              <w:pStyle w:val="TableText"/>
            </w:pPr>
            <w:r w:rsidRPr="00443192">
              <w:t>Apr 27</w:t>
            </w:r>
          </w:p>
        </w:tc>
        <w:tc>
          <w:tcPr>
            <w:tcW w:w="4239" w:type="pct"/>
          </w:tcPr>
          <w:p w:rsidR="00DC7D6D" w:rsidRPr="00443192" w:rsidRDefault="00787D28" w:rsidP="00F2147D">
            <w:pPr>
              <w:pStyle w:val="TableText"/>
            </w:pPr>
            <w:proofErr w:type="spellStart"/>
            <w:r w:rsidRPr="00443192">
              <w:t>Fricker</w:t>
            </w:r>
            <w:proofErr w:type="spellEnd"/>
            <w:r w:rsidRPr="00443192">
              <w:t xml:space="preserve">, </w:t>
            </w:r>
            <w:r w:rsidRPr="00443192">
              <w:rPr>
                <w:i/>
              </w:rPr>
              <w:t xml:space="preserve">Epistemic Injustice, </w:t>
            </w:r>
            <w:r w:rsidRPr="00443192">
              <w:t>Chapter 6</w:t>
            </w:r>
          </w:p>
        </w:tc>
      </w:tr>
      <w:tr w:rsidR="00F2147D" w:rsidRPr="00443192" w:rsidTr="00F2147D">
        <w:trPr>
          <w:jc w:val="center"/>
        </w:trPr>
        <w:tc>
          <w:tcPr>
            <w:tcW w:w="761" w:type="pct"/>
          </w:tcPr>
          <w:p w:rsidR="00F2147D" w:rsidRPr="00443192" w:rsidRDefault="00F2147D" w:rsidP="00787D28">
            <w:pPr>
              <w:pStyle w:val="TableText"/>
            </w:pPr>
            <w:r w:rsidRPr="00443192">
              <w:t>May 8</w:t>
            </w:r>
          </w:p>
        </w:tc>
        <w:tc>
          <w:tcPr>
            <w:tcW w:w="4239" w:type="pct"/>
          </w:tcPr>
          <w:p w:rsidR="00F2147D" w:rsidRPr="00443192" w:rsidRDefault="00F2147D" w:rsidP="00276CAE">
            <w:pPr>
              <w:pStyle w:val="TableText"/>
              <w:rPr>
                <w:i/>
              </w:rPr>
            </w:pPr>
            <w:r w:rsidRPr="00443192">
              <w:rPr>
                <w:i/>
              </w:rPr>
              <w:t xml:space="preserve">Final </w:t>
            </w:r>
            <w:r w:rsidR="00276CAE" w:rsidRPr="00443192">
              <w:rPr>
                <w:i/>
              </w:rPr>
              <w:t xml:space="preserve">Paper Due </w:t>
            </w:r>
          </w:p>
        </w:tc>
      </w:tr>
    </w:tbl>
    <w:p w:rsidR="007C65E2" w:rsidRPr="00443192" w:rsidRDefault="007C65E2"/>
    <w:sectPr w:rsidR="007C65E2" w:rsidRPr="00443192">
      <w:footerReference w:type="default" r:id="rId15"/>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024" w:rsidRDefault="000C0024">
      <w:pPr>
        <w:spacing w:after="0" w:line="240" w:lineRule="auto"/>
      </w:pPr>
      <w:r>
        <w:separator/>
      </w:r>
    </w:p>
    <w:p w:rsidR="000C0024" w:rsidRDefault="000C0024"/>
  </w:endnote>
  <w:endnote w:type="continuationSeparator" w:id="0">
    <w:p w:rsidR="000C0024" w:rsidRDefault="000C0024">
      <w:pPr>
        <w:spacing w:after="0" w:line="240" w:lineRule="auto"/>
      </w:pPr>
      <w:r>
        <w:continuationSeparator/>
      </w:r>
    </w:p>
    <w:p w:rsidR="000C0024" w:rsidRDefault="000C0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B26622">
      <w:tc>
        <w:tcPr>
          <w:tcW w:w="2500" w:type="pct"/>
        </w:tcPr>
        <w:p w:rsidR="00B26622" w:rsidRDefault="00B26622" w:rsidP="00D57244">
          <w:pPr>
            <w:pStyle w:val="Footer"/>
          </w:pPr>
          <w:r>
            <w:t>Spring 2017</w:t>
          </w:r>
        </w:p>
      </w:tc>
      <w:tc>
        <w:tcPr>
          <w:tcW w:w="2500" w:type="pct"/>
        </w:tcPr>
        <w:p w:rsidR="00B26622" w:rsidRDefault="00B26622">
          <w:pPr>
            <w:pStyle w:val="Footer"/>
            <w:jc w:val="right"/>
          </w:pPr>
          <w:r>
            <w:t xml:space="preserve">Page </w:t>
          </w:r>
          <w:r>
            <w:fldChar w:fldCharType="begin"/>
          </w:r>
          <w:r>
            <w:instrText xml:space="preserve"> PAGE   \* MERGEFORMAT </w:instrText>
          </w:r>
          <w:r>
            <w:fldChar w:fldCharType="separate"/>
          </w:r>
          <w:r w:rsidR="002166F4">
            <w:rPr>
              <w:noProof/>
            </w:rPr>
            <w:t>1</w:t>
          </w:r>
          <w:r>
            <w:rPr>
              <w:noProof/>
            </w:rPr>
            <w:fldChar w:fldCharType="end"/>
          </w:r>
        </w:p>
      </w:tc>
    </w:tr>
  </w:tbl>
  <w:p w:rsidR="00B26622" w:rsidRDefault="00B26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024" w:rsidRDefault="000C0024">
      <w:pPr>
        <w:spacing w:after="0" w:line="240" w:lineRule="auto"/>
      </w:pPr>
      <w:r>
        <w:separator/>
      </w:r>
    </w:p>
    <w:p w:rsidR="000C0024" w:rsidRDefault="000C0024"/>
  </w:footnote>
  <w:footnote w:type="continuationSeparator" w:id="0">
    <w:p w:rsidR="000C0024" w:rsidRDefault="000C0024">
      <w:pPr>
        <w:spacing w:after="0" w:line="240" w:lineRule="auto"/>
      </w:pPr>
      <w:r>
        <w:continuationSeparator/>
      </w:r>
    </w:p>
    <w:p w:rsidR="000C0024" w:rsidRDefault="000C00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20B406"/>
    <w:lvl w:ilvl="0">
      <w:start w:val="1"/>
      <w:numFmt w:val="bullet"/>
      <w:lvlText w:val=""/>
      <w:lvlJc w:val="left"/>
      <w:pPr>
        <w:tabs>
          <w:tab w:val="num" w:pos="187"/>
        </w:tabs>
        <w:ind w:left="187" w:hanging="72"/>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CFB0437"/>
    <w:multiLevelType w:val="hybridMultilevel"/>
    <w:tmpl w:val="E2660D24"/>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733D1"/>
    <w:multiLevelType w:val="hybridMultilevel"/>
    <w:tmpl w:val="DFD23150"/>
    <w:lvl w:ilvl="0" w:tplc="DFDA5784">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0"/>
    <w:lvlOverride w:ilvl="0">
      <w:startOverride w:val="1"/>
    </w:lvlOverride>
  </w:num>
  <w:num w:numId="5">
    <w:abstractNumId w:val="8"/>
  </w:num>
  <w:num w:numId="6">
    <w:abstractNumId w:val="5"/>
  </w:num>
  <w:num w:numId="7">
    <w:abstractNumId w:val="9"/>
  </w:num>
  <w:num w:numId="8">
    <w:abstractNumId w:val="7"/>
  </w:num>
  <w:num w:numId="9">
    <w:abstractNumId w:val="7"/>
    <w:lvlOverride w:ilvl="0">
      <w:startOverride w:val="1"/>
    </w:lvlOverride>
  </w:num>
  <w:num w:numId="10">
    <w:abstractNumId w:val="7"/>
    <w:lvlOverride w:ilvl="0">
      <w:startOverride w:val="1"/>
    </w:lvlOverride>
  </w:num>
  <w:num w:numId="11">
    <w:abstractNumId w:val="7"/>
  </w:num>
  <w:num w:numId="12">
    <w:abstractNumId w:val="7"/>
    <w:lvlOverride w:ilvl="0">
      <w:startOverride w:val="1"/>
    </w:lvlOverride>
  </w:num>
  <w:num w:numId="13">
    <w:abstractNumId w:val="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44"/>
    <w:rsid w:val="000020F5"/>
    <w:rsid w:val="00012ACC"/>
    <w:rsid w:val="00033A0C"/>
    <w:rsid w:val="00084AD7"/>
    <w:rsid w:val="000B2170"/>
    <w:rsid w:val="000C0024"/>
    <w:rsid w:val="002166F4"/>
    <w:rsid w:val="00276CAE"/>
    <w:rsid w:val="002825D5"/>
    <w:rsid w:val="00296635"/>
    <w:rsid w:val="00344B6D"/>
    <w:rsid w:val="00351FAA"/>
    <w:rsid w:val="00356F46"/>
    <w:rsid w:val="00417649"/>
    <w:rsid w:val="00443192"/>
    <w:rsid w:val="004F7EC5"/>
    <w:rsid w:val="0051701B"/>
    <w:rsid w:val="00542320"/>
    <w:rsid w:val="00553655"/>
    <w:rsid w:val="005822B1"/>
    <w:rsid w:val="006011AF"/>
    <w:rsid w:val="006930A5"/>
    <w:rsid w:val="006C146A"/>
    <w:rsid w:val="007338C5"/>
    <w:rsid w:val="00784D9B"/>
    <w:rsid w:val="00787D28"/>
    <w:rsid w:val="007C65E2"/>
    <w:rsid w:val="00885515"/>
    <w:rsid w:val="009951AD"/>
    <w:rsid w:val="00A25D1C"/>
    <w:rsid w:val="00B26622"/>
    <w:rsid w:val="00B474F2"/>
    <w:rsid w:val="00B95C64"/>
    <w:rsid w:val="00BE5983"/>
    <w:rsid w:val="00C54746"/>
    <w:rsid w:val="00CA7887"/>
    <w:rsid w:val="00CF4471"/>
    <w:rsid w:val="00D57244"/>
    <w:rsid w:val="00DC7D6D"/>
    <w:rsid w:val="00E42A81"/>
    <w:rsid w:val="00E63427"/>
    <w:rsid w:val="00F2147D"/>
    <w:rsid w:val="00F2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Bullet" w:uiPriority="1" w:qFormat="1"/>
    <w:lsdException w:name="Title" w:semiHidden="0" w:uiPriority="10" w:unhideWhenUsed="0" w:qFormat="1"/>
    <w:lsdException w:name="Default Paragraph Font" w:uiPriority="1"/>
    <w:lsdException w:name="Body Text" w:qFormat="1"/>
    <w:lsdException w:name="Subtitle" w:uiPriority="11" w:qFormat="1"/>
    <w:lsdException w:name="Strong" w:uiPriority="1"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paragraph" w:customStyle="1" w:styleId="4C76D745FF6E4378BE507B415C8A1CF2">
    <w:name w:val="4C76D745FF6E4378BE507B415C8A1CF2"/>
    <w:rsid w:val="00D57244"/>
    <w:pPr>
      <w:spacing w:after="160" w:line="259" w:lineRule="auto"/>
      <w:ind w:left="0" w:right="0"/>
    </w:pPr>
    <w:rPr>
      <w:rFonts w:eastAsiaTheme="minorEastAsia"/>
      <w:color w:val="auto"/>
      <w:sz w:val="22"/>
      <w:szCs w:val="22"/>
      <w:lang w:eastAsia="en-US"/>
    </w:rPr>
  </w:style>
  <w:style w:type="character" w:styleId="Hyperlink">
    <w:name w:val="Hyperlink"/>
    <w:basedOn w:val="DefaultParagraphFont"/>
    <w:uiPriority w:val="99"/>
    <w:unhideWhenUsed/>
    <w:rsid w:val="00D57244"/>
    <w:rPr>
      <w:color w:val="5F5F5F" w:themeColor="hyperlink"/>
      <w:u w:val="single"/>
    </w:rPr>
  </w:style>
  <w:style w:type="paragraph" w:styleId="ListParagraph">
    <w:name w:val="List Paragraph"/>
    <w:basedOn w:val="Normal"/>
    <w:uiPriority w:val="34"/>
    <w:qFormat/>
    <w:rsid w:val="00D57244"/>
    <w:pPr>
      <w:spacing w:after="0" w:line="240" w:lineRule="auto"/>
      <w:ind w:left="720" w:right="0"/>
      <w:contextualSpacing/>
    </w:pPr>
    <w:rPr>
      <w:rFonts w:eastAsiaTheme="minorEastAsia"/>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Bullet" w:uiPriority="1" w:qFormat="1"/>
    <w:lsdException w:name="Title" w:semiHidden="0" w:uiPriority="10" w:unhideWhenUsed="0" w:qFormat="1"/>
    <w:lsdException w:name="Default Paragraph Font" w:uiPriority="1"/>
    <w:lsdException w:name="Body Text" w:qFormat="1"/>
    <w:lsdException w:name="Subtitle" w:uiPriority="11" w:qFormat="1"/>
    <w:lsdException w:name="Strong" w:uiPriority="1"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paragraph" w:customStyle="1" w:styleId="4C76D745FF6E4378BE507B415C8A1CF2">
    <w:name w:val="4C76D745FF6E4378BE507B415C8A1CF2"/>
    <w:rsid w:val="00D57244"/>
    <w:pPr>
      <w:spacing w:after="160" w:line="259" w:lineRule="auto"/>
      <w:ind w:left="0" w:right="0"/>
    </w:pPr>
    <w:rPr>
      <w:rFonts w:eastAsiaTheme="minorEastAsia"/>
      <w:color w:val="auto"/>
      <w:sz w:val="22"/>
      <w:szCs w:val="22"/>
      <w:lang w:eastAsia="en-US"/>
    </w:rPr>
  </w:style>
  <w:style w:type="character" w:styleId="Hyperlink">
    <w:name w:val="Hyperlink"/>
    <w:basedOn w:val="DefaultParagraphFont"/>
    <w:uiPriority w:val="99"/>
    <w:unhideWhenUsed/>
    <w:rsid w:val="00D57244"/>
    <w:rPr>
      <w:color w:val="5F5F5F" w:themeColor="hyperlink"/>
      <w:u w:val="single"/>
    </w:rPr>
  </w:style>
  <w:style w:type="paragraph" w:styleId="ListParagraph">
    <w:name w:val="List Paragraph"/>
    <w:basedOn w:val="Normal"/>
    <w:uiPriority w:val="34"/>
    <w:qFormat/>
    <w:rsid w:val="00D57244"/>
    <w:pPr>
      <w:spacing w:after="0" w:line="240" w:lineRule="auto"/>
      <w:ind w:left="720" w:right="0"/>
      <w:contextualSpacing/>
    </w:pPr>
    <w:rPr>
      <w:rFonts w:eastAsiaTheme="minorEastAsia"/>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o.stanford.edu/entries/ethics-deontologica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plato.stanford.edu/entries/kant-mor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o.stanford.edu/entries/consequentialis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tudentconduct.unc.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o.stanford.edu/entries/ethics-virt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an\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0147DB33-FEDA-4E42-8C9B-CDF2B571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5</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MacKenzie</dc:creator>
  <cp:lastModifiedBy>Lenovo User</cp:lastModifiedBy>
  <cp:revision>5</cp:revision>
  <dcterms:created xsi:type="dcterms:W3CDTF">2017-01-12T15:57:00Z</dcterms:created>
  <dcterms:modified xsi:type="dcterms:W3CDTF">2017-01-12T16:01:00Z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